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5,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333-253085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333-268277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333-271944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333-275549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333-277943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333-283169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333-285966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333-294733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 TO:</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333-253085</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333-268277</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333-271944</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333-275549</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333-277943</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333-283169</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333-285966</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333-294733</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333-263340</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TERNS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98-1448275</w:t>
            </w:r>
          </w:p>
        </w:tc>
      </w:tr>
      <w:tr>
        <w:trPr>
          <w:trHeight w:val="148"/>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1065 East Hillsdale Blvd., Suite 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Foster City, California 94404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525-5535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Kelly E.W. Grez</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1065 East Hillsdale Blvd., Suite 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Foster City, California 94404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525-5535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Catherine J. Dargan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Andrew Fischer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Alicia Zhang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Covington &amp; Burling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850 Tenth Street, NW</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 662-6000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p>
      <w:pPr>
        <w:spacing w:after="0" w:line="207" w:lineRule="exact"/>
        <w:tabs>
          <w:tab w:leader="none" w:pos="1980" w:val="left"/>
          <w:tab w:leader="none" w:pos="8360" w:val="left"/>
          <w:tab w:leader="none" w:pos="1078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020"/>
          </w:cols>
          <w:pgMar w:left="440" w:top="225" w:right="439" w:bottom="0" w:gutter="0" w:footer="0" w:header="0"/>
        </w:sectPr>
      </w:pPr>
    </w:p>
    <w:bookmarkStart w:id="1" w:name="page2"/>
    <w:bookmarkEnd w:id="1"/>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520" w:space="480"/>
            <w:col w:w="5660" w:space="720"/>
            <w:col w:w="1960" w:space="460"/>
            <w:col w:w="160"/>
          </w:cols>
          <w:pgMar w:left="440" w:top="121" w:right="499" w:bottom="1440" w:gutter="0" w:footer="0" w:header="0"/>
        </w:sectPr>
      </w:pPr>
    </w:p>
    <w:p>
      <w:pPr>
        <w:spacing w:after="0" w:line="41"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6" w:lineRule="exact"/>
        <w:rPr>
          <w:sz w:val="20"/>
          <w:szCs w:val="20"/>
          <w:color w:val="auto"/>
        </w:rPr>
      </w:pPr>
    </w:p>
    <w:p>
      <w:pPr>
        <w:sectPr>
          <w:pgSz w:w="11900" w:h="16838" w:orient="portrait"/>
          <w:cols w:equalWidth="0" w:num="2">
            <w:col w:w="10340" w:space="460"/>
            <w:col w:w="160"/>
          </w:cols>
          <w:pgMar w:left="440" w:top="121" w:right="499" w:bottom="1440" w:gutter="0" w:footer="0" w:header="0"/>
          <w:type w:val="continuous"/>
        </w:sectPr>
      </w:pPr>
    </w:p>
    <w:p>
      <w:pPr>
        <w:spacing w:after="0" w:line="37"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 AND DEREGISTRATION OF UNSOLD SECURITIES</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This Post-Effective Amendment No. 1 (this “</w:t>
      </w:r>
      <w:r>
        <w:rPr>
          <w:rFonts w:ascii="Times New Roman" w:cs="Times New Roman" w:eastAsia="Times New Roman" w:hAnsi="Times New Roman"/>
          <w:sz w:val="18"/>
          <w:szCs w:val="18"/>
          <w:b w:val="1"/>
          <w:bCs w:val="1"/>
          <w:i w:val="1"/>
          <w:iCs w:val="1"/>
          <w:color w:val="auto"/>
        </w:rPr>
        <w:t>Post-Effective Amendment</w:t>
      </w:r>
      <w:r>
        <w:rPr>
          <w:rFonts w:ascii="Times New Roman" w:cs="Times New Roman" w:eastAsia="Times New Roman" w:hAnsi="Times New Roman"/>
          <w:sz w:val="18"/>
          <w:szCs w:val="18"/>
          <w:color w:val="auto"/>
        </w:rPr>
        <w:t>”) relates to the deregistration of all shares of common stock, $0.0001 par value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Terns Pharmaceuticals, Inc., a Delaware corporation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remaining unsold or otherwise unissued under the following Registration Statements on Form S-8 (collectively, the “</w:t>
      </w:r>
      <w:r>
        <w:rPr>
          <w:rFonts w:ascii="Times New Roman" w:cs="Times New Roman" w:eastAsia="Times New Roman" w:hAnsi="Times New Roman"/>
          <w:sz w:val="18"/>
          <w:szCs w:val="18"/>
          <w:b w:val="1"/>
          <w:bCs w:val="1"/>
          <w:i w:val="1"/>
          <w:iCs w:val="1"/>
          <w:color w:val="auto"/>
        </w:rPr>
        <w:t>Registration Statements</w:t>
      </w:r>
      <w:r>
        <w:rPr>
          <w:rFonts w:ascii="Times New Roman" w:cs="Times New Roman" w:eastAsia="Times New Roman" w:hAnsi="Times New Roman"/>
          <w:sz w:val="18"/>
          <w:szCs w:val="18"/>
          <w:color w:val="auto"/>
        </w:rPr>
        <w:t>”) filed by the Registrant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Date Originally Filed</w:t>
            </w:r>
          </w:p>
        </w:tc>
        <w:tc>
          <w:tcPr>
            <w:tcW w:w="2400" w:type="dxa"/>
            <w:vAlign w:val="bottom"/>
          </w:tcPr>
          <w:p>
            <w:pPr>
              <w:spacing w:after="0"/>
              <w:rPr>
                <w:sz w:val="13"/>
                <w:szCs w:val="13"/>
                <w:color w:val="auto"/>
              </w:rPr>
            </w:pPr>
          </w:p>
        </w:tc>
        <w:tc>
          <w:tcPr>
            <w:tcW w:w="4080" w:type="dxa"/>
            <w:vAlign w:val="bottom"/>
          </w:tcPr>
          <w:p>
            <w:pPr>
              <w:spacing w:after="0"/>
              <w:rPr>
                <w:sz w:val="13"/>
                <w:szCs w:val="13"/>
                <w:color w:val="auto"/>
              </w:rPr>
            </w:pPr>
          </w:p>
        </w:tc>
      </w:tr>
      <w:tr>
        <w:trPr>
          <w:trHeight w:val="187"/>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8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6480" w:type="dxa"/>
            <w:vAlign w:val="bottom"/>
            <w:gridSpan w:val="2"/>
          </w:tcPr>
          <w:p>
            <w:pPr>
              <w:ind w:left="2000"/>
              <w:spacing w:after="0"/>
              <w:rPr>
                <w:sz w:val="20"/>
                <w:szCs w:val="20"/>
                <w:color w:val="auto"/>
              </w:rPr>
            </w:pPr>
            <w:r>
              <w:rPr>
                <w:rFonts w:ascii="Times New Roman" w:cs="Times New Roman" w:eastAsia="Times New Roman" w:hAnsi="Times New Roman"/>
                <w:sz w:val="14"/>
                <w:szCs w:val="14"/>
                <w:b w:val="1"/>
                <w:bCs w:val="1"/>
                <w:color w:val="auto"/>
              </w:rPr>
              <w:t>Name of Equity Plan(s) or Agreement(s)</w:t>
            </w:r>
          </w:p>
        </w:tc>
      </w:tr>
      <w:tr>
        <w:trPr>
          <w:trHeight w:val="155"/>
        </w:trPr>
        <w:tc>
          <w:tcPr>
            <w:tcW w:w="860" w:type="dxa"/>
            <w:vAlign w:val="bottom"/>
            <w:tcBorders>
              <w:bottom w:val="single" w:sz="8" w:color="0000EE"/>
            </w:tcBorders>
          </w:tcPr>
          <w:p>
            <w:pPr>
              <w:spacing w:after="0" w:line="136" w:lineRule="exact"/>
              <w:rPr>
                <w:rFonts w:ascii="Times New Roman" w:cs="Times New Roman" w:eastAsia="Times New Roman" w:hAnsi="Times New Roman"/>
                <w:sz w:val="15"/>
                <w:szCs w:val="15"/>
                <w:color w:val="0000EE"/>
              </w:rPr>
            </w:pPr>
            <w:hyperlink r:id="rId18">
              <w:r>
                <w:rPr>
                  <w:rFonts w:ascii="Times New Roman" w:cs="Times New Roman" w:eastAsia="Times New Roman" w:hAnsi="Times New Roman"/>
                  <w:sz w:val="15"/>
                  <w:szCs w:val="15"/>
                  <w:color w:val="0000EE"/>
                </w:rPr>
                <w:t>333-253085</w:t>
              </w:r>
            </w:hyperlink>
          </w:p>
        </w:tc>
        <w:tc>
          <w:tcPr>
            <w:tcW w:w="360" w:type="dxa"/>
            <w:vAlign w:val="bottom"/>
          </w:tcPr>
          <w:p>
            <w:pPr>
              <w:spacing w:after="0"/>
              <w:rPr>
                <w:sz w:val="13"/>
                <w:szCs w:val="13"/>
                <w:color w:val="auto"/>
              </w:rPr>
            </w:pPr>
          </w:p>
        </w:tc>
        <w:tc>
          <w:tcPr>
            <w:tcW w:w="16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February 12, 2021</w:t>
            </w:r>
          </w:p>
        </w:tc>
        <w:tc>
          <w:tcPr>
            <w:tcW w:w="220" w:type="dxa"/>
            <w:vAlign w:val="bottom"/>
          </w:tcPr>
          <w:p>
            <w:pPr>
              <w:spacing w:after="0"/>
              <w:rPr>
                <w:sz w:val="13"/>
                <w:szCs w:val="13"/>
                <w:color w:val="auto"/>
              </w:rPr>
            </w:pPr>
          </w:p>
        </w:tc>
        <w:tc>
          <w:tcPr>
            <w:tcW w:w="64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6"/>
                <w:szCs w:val="16"/>
                <w:color w:val="auto"/>
              </w:rPr>
              <w:t>Terns Pharmaceuticals, Inc. 2017 Equity Incentive Plan</w:t>
            </w:r>
          </w:p>
        </w:tc>
      </w:tr>
      <w:tr>
        <w:trPr>
          <w:trHeight w:val="232"/>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Incentive Award Plan</w:t>
            </w:r>
          </w:p>
        </w:tc>
      </w:tr>
      <w:tr>
        <w:trPr>
          <w:trHeight w:val="234"/>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Employee Stock Purchase Plan</w:t>
            </w:r>
          </w:p>
        </w:tc>
      </w:tr>
      <w:tr>
        <w:trPr>
          <w:trHeight w:val="297"/>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19">
              <w:r>
                <w:rPr>
                  <w:rFonts w:ascii="Times New Roman" w:cs="Times New Roman" w:eastAsia="Times New Roman" w:hAnsi="Times New Roman"/>
                  <w:sz w:val="18"/>
                  <w:szCs w:val="18"/>
                  <w:color w:val="0000EE"/>
                  <w:w w:val="96"/>
                </w:rPr>
                <w:t>333-263340</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7, 2022</w:t>
            </w: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Incentive Award Plan</w:t>
            </w:r>
          </w:p>
        </w:tc>
      </w:tr>
      <w:tr>
        <w:trPr>
          <w:trHeight w:val="237"/>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Employee Stock Purchase Plan</w:t>
            </w:r>
          </w:p>
        </w:tc>
      </w:tr>
      <w:tr>
        <w:trPr>
          <w:trHeight w:val="297"/>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20">
              <w:r>
                <w:rPr>
                  <w:rFonts w:ascii="Times New Roman" w:cs="Times New Roman" w:eastAsia="Times New Roman" w:hAnsi="Times New Roman"/>
                  <w:sz w:val="18"/>
                  <w:szCs w:val="18"/>
                  <w:color w:val="0000EE"/>
                  <w:w w:val="96"/>
                </w:rPr>
                <w:t>333-268277</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9, 2022</w:t>
            </w: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2022 Employment Inducement Award Plan</w:t>
            </w:r>
          </w:p>
        </w:tc>
      </w:tr>
      <w:tr>
        <w:trPr>
          <w:trHeight w:val="304"/>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21">
              <w:r>
                <w:rPr>
                  <w:rFonts w:ascii="Times New Roman" w:cs="Times New Roman" w:eastAsia="Times New Roman" w:hAnsi="Times New Roman"/>
                  <w:sz w:val="18"/>
                  <w:szCs w:val="18"/>
                  <w:color w:val="0000EE"/>
                  <w:w w:val="96"/>
                </w:rPr>
                <w:t>333-271944</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15, 2023</w:t>
            </w: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Incentive Award Plan</w:t>
            </w:r>
          </w:p>
        </w:tc>
      </w:tr>
      <w:tr>
        <w:trPr>
          <w:trHeight w:val="237"/>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Employee Stock Purchase Plan</w:t>
            </w:r>
          </w:p>
        </w:tc>
      </w:tr>
      <w:tr>
        <w:trPr>
          <w:trHeight w:val="297"/>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22">
              <w:r>
                <w:rPr>
                  <w:rFonts w:ascii="Times New Roman" w:cs="Times New Roman" w:eastAsia="Times New Roman" w:hAnsi="Times New Roman"/>
                  <w:sz w:val="18"/>
                  <w:szCs w:val="18"/>
                  <w:color w:val="0000EE"/>
                  <w:w w:val="96"/>
                </w:rPr>
                <w:t>333-275549</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14, 2023</w:t>
            </w: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2022 Employment Inducement Award Plan</w:t>
            </w:r>
          </w:p>
        </w:tc>
      </w:tr>
      <w:tr>
        <w:trPr>
          <w:trHeight w:val="304"/>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23">
              <w:r>
                <w:rPr>
                  <w:rFonts w:ascii="Times New Roman" w:cs="Times New Roman" w:eastAsia="Times New Roman" w:hAnsi="Times New Roman"/>
                  <w:sz w:val="18"/>
                  <w:szCs w:val="18"/>
                  <w:color w:val="0000EE"/>
                  <w:w w:val="96"/>
                </w:rPr>
                <w:t>333-277943</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14, 2024</w:t>
            </w: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Incentive Award Plan</w:t>
            </w:r>
          </w:p>
        </w:tc>
      </w:tr>
      <w:tr>
        <w:trPr>
          <w:trHeight w:val="237"/>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Employee Stock Purchase Plan</w:t>
            </w:r>
          </w:p>
        </w:tc>
      </w:tr>
      <w:tr>
        <w:trPr>
          <w:trHeight w:val="297"/>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24">
              <w:r>
                <w:rPr>
                  <w:rFonts w:ascii="Times New Roman" w:cs="Times New Roman" w:eastAsia="Times New Roman" w:hAnsi="Times New Roman"/>
                  <w:sz w:val="18"/>
                  <w:szCs w:val="18"/>
                  <w:color w:val="0000EE"/>
                  <w:w w:val="96"/>
                </w:rPr>
                <w:t>333-283169</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12, 2024</w:t>
            </w: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2022 Employment Inducement Award Plan</w:t>
            </w:r>
          </w:p>
        </w:tc>
      </w:tr>
      <w:tr>
        <w:trPr>
          <w:trHeight w:val="304"/>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25">
              <w:r>
                <w:rPr>
                  <w:rFonts w:ascii="Times New Roman" w:cs="Times New Roman" w:eastAsia="Times New Roman" w:hAnsi="Times New Roman"/>
                  <w:sz w:val="18"/>
                  <w:szCs w:val="18"/>
                  <w:color w:val="0000EE"/>
                  <w:w w:val="96"/>
                </w:rPr>
                <w:t>333-285966</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 2025</w:t>
            </w: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Incentive Award Plan</w:t>
            </w:r>
          </w:p>
        </w:tc>
      </w:tr>
      <w:tr>
        <w:trPr>
          <w:trHeight w:val="237"/>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w w:val="98"/>
              </w:rPr>
              <w:t>Terns Pharmaceuticals, Inc. 2021</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r>
      <w:tr>
        <w:trPr>
          <w:trHeight w:val="297"/>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26">
              <w:r>
                <w:rPr>
                  <w:rFonts w:ascii="Times New Roman" w:cs="Times New Roman" w:eastAsia="Times New Roman" w:hAnsi="Times New Roman"/>
                  <w:sz w:val="18"/>
                  <w:szCs w:val="18"/>
                  <w:color w:val="0000EE"/>
                  <w:w w:val="96"/>
                </w:rPr>
                <w:t>333-294733</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30, 2026</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w w:val="98"/>
              </w:rPr>
              <w:t>Terns Pharmaceuticals, Inc. 2021</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Award Plan</w:t>
            </w:r>
          </w:p>
        </w:tc>
      </w:tr>
      <w:tr>
        <w:trPr>
          <w:trHeight w:val="218"/>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w w:val="98"/>
              </w:rPr>
              <w:t>Terns Pharmaceuticals, Inc. 2022</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Employment Inducement Award Plan</w:t>
            </w:r>
          </w:p>
        </w:tc>
      </w:tr>
      <w:tr>
        <w:trPr>
          <w:trHeight w:val="234"/>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w w:val="98"/>
              </w:rPr>
              <w:t>Terns Pharmaceuticals, Inc. 2021</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r>
    </w:tbl>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w:t>
      </w:r>
    </w:p>
    <w:p>
      <w:pPr>
        <w:spacing w:after="0" w:line="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-3175</wp:posOffset>
            </wp:positionV>
            <wp:extent cx="7797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5,100,277</w:t>
      </w: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1,516,155</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1,400,000</w:t>
      </w: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3,223,389</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3,113,250</w:t>
      </w: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3,874,602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2,250,000</w:t>
      </w: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5,227,594</w:t>
      </w: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8,369,288</w:t>
      </w:r>
    </w:p>
    <w:p>
      <w:pPr>
        <w:spacing w:after="0" w:line="213" w:lineRule="exact"/>
        <w:rPr>
          <w:sz w:val="20"/>
          <w:szCs w:val="20"/>
          <w:color w:val="auto"/>
        </w:rPr>
      </w:pPr>
    </w:p>
    <w:p>
      <w:pPr>
        <w:sectPr>
          <w:pgSz w:w="11900" w:h="16838" w:orient="portrait"/>
          <w:cols w:equalWidth="0" w:num="2">
            <w:col w:w="9560" w:space="360"/>
            <w:col w:w="1080"/>
          </w:cols>
          <w:pgMar w:left="440" w:top="266" w:right="459" w:bottom="1440" w:gutter="0" w:footer="0" w:header="0"/>
          <w:type w:val="continuous"/>
        </w:sectPr>
      </w:pPr>
    </w:p>
    <w:p>
      <w:pPr>
        <w:spacing w:after="0" w:line="7"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color w:val="auto"/>
        </w:rPr>
        <w:t>On May 5, 2026, pursuant to the terms of the Agreement and Plan of Merger, dated as of March 24, 2026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the Registrant, Merck Sharp &amp; Dohme LLC, a New Jersey limited liability company (“</w:t>
      </w:r>
      <w:r>
        <w:rPr>
          <w:rFonts w:ascii="Times New Roman" w:cs="Times New Roman" w:eastAsia="Times New Roman" w:hAnsi="Times New Roman"/>
          <w:sz w:val="18"/>
          <w:szCs w:val="18"/>
          <w:b w:val="1"/>
          <w:bCs w:val="1"/>
          <w:i w:val="1"/>
          <w:iCs w:val="1"/>
          <w:color w:val="auto"/>
        </w:rPr>
        <w:t>Merck</w:t>
      </w:r>
      <w:r>
        <w:rPr>
          <w:rFonts w:ascii="Times New Roman" w:cs="Times New Roman" w:eastAsia="Times New Roman" w:hAnsi="Times New Roman"/>
          <w:sz w:val="18"/>
          <w:szCs w:val="18"/>
          <w:color w:val="auto"/>
        </w:rPr>
        <w:t>”), and Thailand Merger Sub, Inc., a Delaware corporation and a wholly owned subsidiary of Merck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Purchaser merged with and into the Registrant, with the Registrant surviving the merger as a wholly owned subsidiary of Merck.</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transactions contemplated by the Merger Agreement, the Registrant has terminated all offerings of its securities pursuant to the Registration Statements. In accordance with an undertaking made by the Registrant in the Registration Statements to remove from registration, by means of a post-effective amendment, any of the securities registered under the Registration Statements that remain unissued at the termination of the offerings, the Registrant hereby deregisters all securities previously registered but unsold or otherwise unissued under the Registration Statements, if any, as of the date hereof.</w:t>
      </w:r>
    </w:p>
    <w:p>
      <w:pPr>
        <w:sectPr>
          <w:pgSz w:w="11900" w:h="16838" w:orient="portrait"/>
          <w:cols w:equalWidth="0" w:num="1">
            <w:col w:w="11000"/>
          </w:cols>
          <w:pgMar w:left="440" w:top="266" w:right="459" w:bottom="1440" w:gutter="0" w:footer="0" w:header="0"/>
          <w:type w:val="continuous"/>
        </w:sectPr>
      </w:pPr>
    </w:p>
    <w:bookmarkStart w:id="3" w:name="page4"/>
    <w:bookmarkEnd w:id="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Rahway, in the State of New Jersey, on May 5,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Terns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Kelly E.W. Grez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Kelly E.W. Grez</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No. 1 to the Registration Statements on Form S-8, in reliance upon Rule 478 under the Securities Act of 1933, as amended.</w:t>
      </w:r>
    </w:p>
    <w:sectPr>
      <w:pgSz w:w="11900" w:h="16838" w:orient="portrait"/>
      <w:cols w:equalWidth="0" w:num="1">
        <w:col w:w="10880"/>
      </w:cols>
      <w:pgMar w:left="440" w:top="266"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18" Type="http://schemas.openxmlformats.org/officeDocument/2006/relationships/hyperlink" Target="http://www.sec.gov/Archives/edgar/data/1831363/000119312521041825/d137290ds8.htm" TargetMode="External"/><Relationship Id="rId19" Type="http://schemas.openxmlformats.org/officeDocument/2006/relationships/hyperlink" Target="http://www.sec.gov/Archives/edgar/data/1831363/000119312522067930/d295777ds8.htm" TargetMode="External"/><Relationship Id="rId20" Type="http://schemas.openxmlformats.org/officeDocument/2006/relationships/hyperlink" Target="http://www.sec.gov/Archives/edgar/data/1831363/000095017022023992/tern-s8-q322.htm" TargetMode="External"/><Relationship Id="rId21" Type="http://schemas.openxmlformats.org/officeDocument/2006/relationships/hyperlink" Target="http://www.sec.gov/Archives/edgar/data/1831363/000095017023022257/tern-s8-q123.htm" TargetMode="External"/><Relationship Id="rId22" Type="http://schemas.openxmlformats.org/officeDocument/2006/relationships/hyperlink" Target="http://www.sec.gov/Archives/edgar/data/1831363/000095017023063755/tern-s8-q323.htm" TargetMode="External"/><Relationship Id="rId23" Type="http://schemas.openxmlformats.org/officeDocument/2006/relationships/hyperlink" Target="http://www.sec.gov/Archives/edgar/data/1831363/000095017024031601/tern-s8-q124.htm" TargetMode="External"/><Relationship Id="rId24" Type="http://schemas.openxmlformats.org/officeDocument/2006/relationships/hyperlink" Target="http://www.sec.gov/Archives/edgar/data/1831363/000095017024125651/tern-s8-q324.htm" TargetMode="External"/><Relationship Id="rId25" Type="http://schemas.openxmlformats.org/officeDocument/2006/relationships/hyperlink" Target="http://www.sec.gov/Archives/edgar/data/1831363/000095017025042727/tern-s8-q125.htm" TargetMode="External"/><Relationship Id="rId26" Type="http://schemas.openxmlformats.org/officeDocument/2006/relationships/hyperlink" Target="http://www.sec.gov/Archives/edgar/data/1831363/000119312526132108/tern-202603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2026-05-05T09:02:51Z</dcterms:created>
  <dcterms:modified xsi:type="dcterms:W3CDTF">2026-05-05T09:02:51Z</dcterms:modified>
</cp:coreProperties>
</file>