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ern-10k_20201231.htm"/>
      <w:bookmarkStart w:id="1" w:name="kstern10k_20201231"/>
      <w:bookmarkEnd w:id="0"/>
      <w:bookmarkEnd w:id="1"/>
      <w:r>
        <w:rPr/>
        <w:t> </w:t>
      </w:r>
    </w:p>
    <w:p>
      <w:pPr>
        <w:pStyle w:val="TextBody"/>
        <w:pBdr>
          <w:top w:val="double" w:sz="6" w:space="1" w:color="000000"/>
        </w:pBdr>
        <w:spacing w:before="0" w:after="0"/>
        <w:jc w:val="center"/>
        <w:rPr/>
      </w:pPr>
      <w:r>
        <w:rPr/>
        <w:t> </w:t>
      </w:r>
    </w:p>
    <w:p>
      <w:pPr>
        <w:pStyle w:val="TextBody"/>
        <w:spacing w:before="0" w:after="0"/>
        <w:jc w:val="center"/>
        <w:rPr>
          <w:rFonts w:ascii="Times New Roman" w:hAnsi="Times New Roman"/>
          <w:b/>
          <w:i w:val="false"/>
          <w:caps w:val="false"/>
          <w:smallCaps w:val="false"/>
          <w:sz w:val="28"/>
        </w:rPr>
      </w:pPr>
      <w:r>
        <w:rPr>
          <w:rFonts w:ascii="Times New Roman" w:hAnsi="Times New Roman"/>
          <w:b/>
          <w:i w:val="false"/>
          <w:caps w:val="false"/>
          <w:smallCaps w:val="false"/>
          <w:sz w:val="28"/>
        </w:rPr>
        <w:t xml:space="preserve">UNITED STATES </w:t>
      </w:r>
    </w:p>
    <w:p>
      <w:pPr>
        <w:pStyle w:val="TextBody"/>
        <w:spacing w:before="0" w:after="0"/>
        <w:jc w:val="center"/>
        <w:rPr>
          <w:rFonts w:ascii="Times New Roman" w:hAnsi="Times New Roman"/>
          <w:b/>
          <w:i w:val="false"/>
          <w:caps w:val="false"/>
          <w:smallCaps w:val="false"/>
          <w:sz w:val="28"/>
        </w:rPr>
      </w:pPr>
      <w:r>
        <w:rPr>
          <w:rFonts w:ascii="Times New Roman" w:hAnsi="Times New Roman"/>
          <w:b/>
          <w:i w:val="false"/>
          <w:caps w:val="false"/>
          <w:smallCaps w:val="false"/>
          <w:sz w:val="28"/>
        </w:rPr>
        <w:t xml:space="preserve">SECURITIES AND EXCHANGE COMMISSION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Washington, D.C. 20549 </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60" w:after="0"/>
        <w:jc w:val="center"/>
        <w:rPr>
          <w:rFonts w:ascii="Times New Roman" w:hAnsi="Times New Roman"/>
          <w:b/>
          <w:i w:val="false"/>
          <w:caps w:val="false"/>
          <w:smallCaps w:val="false"/>
          <w:sz w:val="32"/>
        </w:rPr>
      </w:pPr>
      <w:r>
        <w:rPr>
          <w:rFonts w:ascii="Times New Roman" w:hAnsi="Times New Roman"/>
          <w:b/>
          <w:i w:val="false"/>
          <w:caps w:val="false"/>
          <w:smallCaps w:val="false"/>
          <w:sz w:val="32"/>
        </w:rPr>
        <w:t xml:space="preserve">FORM 10-K </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60" w:after="0"/>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(Mark One) </w:t>
      </w:r>
    </w:p>
    <w:tbl>
      <w:tblPr>
        <w:tblW w:w="8485" w:type="dxa"/>
        <w:jc w:val="center"/>
        <w:tblInd w:w="0" w:type="dxa"/>
        <w:tblCellMar>
          <w:top w:w="0" w:type="dxa"/>
          <w:left w:w="0" w:type="dxa"/>
          <w:bottom w:w="0" w:type="dxa"/>
          <w:right w:w="0" w:type="dxa"/>
        </w:tblCellMar>
      </w:tblPr>
      <w:tblGrid>
        <w:gridCol w:w="230"/>
        <w:gridCol w:w="825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8255" w:type="dxa"/>
            <w:tcBorders/>
            <w:shd w:fill="auto" w:val="clear"/>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ANNUAL REPORT PURSUANT TO SECTION 13 OR 15(d) OF THE SECURITIES EXCHANGE ACT OF 1934 </w:t>
            </w:r>
          </w:p>
        </w:tc>
      </w:tr>
    </w:tbl>
    <w:p>
      <w:pPr>
        <w:pStyle w:val="TextBody"/>
        <w:spacing w:before="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fiscal year ended December 31, 2020</w:t>
      </w:r>
    </w:p>
    <w:p>
      <w:pPr>
        <w:pStyle w:val="TextBody"/>
        <w:spacing w:before="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OR </w:t>
      </w:r>
    </w:p>
    <w:tbl>
      <w:tblPr>
        <w:tblW w:w="10205" w:type="dxa"/>
        <w:jc w:val="center"/>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6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6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TRANSITION REPORT PURSUANT TO SECTION 13 OR 15(d) OF THE SECURITIES EXCHANGE ACT OF 1934 FOR THE TRANSITION PERIOD FROM                      TO                     </w:t>
            </w:r>
          </w:p>
        </w:tc>
      </w:tr>
    </w:tbl>
    <w:p>
      <w:pPr>
        <w:pStyle w:val="TextBody"/>
        <w:spacing w:before="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w:t>
      </w:r>
      <w:r>
        <w:rPr>
          <w:rFonts w:ascii="Times New Roman" w:hAnsi="Times New Roman"/>
          <w:b/>
          <w:i w:val="false"/>
          <w:caps w:val="false"/>
          <w:smallCaps w:val="false"/>
          <w:color w:val="000000"/>
          <w:sz w:val="20"/>
          <w:highlight w:val="white"/>
        </w:rPr>
        <w:t>001-39926</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60" w:after="0"/>
        <w:jc w:val="center"/>
        <w:rPr>
          <w:rFonts w:ascii="Times New Roman" w:hAnsi="Times New Roman"/>
          <w:b/>
          <w:i w:val="false"/>
          <w:caps w:val="false"/>
          <w:smallCaps w:val="false"/>
          <w:sz w:val="40"/>
        </w:rPr>
      </w:pPr>
      <w:r>
        <w:rPr>
          <w:rFonts w:ascii="Times New Roman" w:hAnsi="Times New Roman"/>
          <w:b/>
          <w:i w:val="false"/>
          <w:caps w:val="false"/>
          <w:smallCaps w:val="false"/>
          <w:sz w:val="40"/>
        </w:rPr>
        <w:t>Terns Pharmaceuticals,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(Exact name of Registrant as specified in its Charter) </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tbl>
      <w:tblPr>
        <w:tblW w:w="3955" w:type="dxa"/>
        <w:jc w:val="center"/>
        <w:tblInd w:w="0" w:type="dxa"/>
        <w:tblCellMar>
          <w:top w:w="0" w:type="dxa"/>
          <w:left w:w="0" w:type="dxa"/>
          <w:bottom w:w="0" w:type="dxa"/>
          <w:right w:w="0" w:type="dxa"/>
        </w:tblCellMar>
      </w:tblPr>
      <w:tblGrid>
        <w:gridCol w:w="2600"/>
        <w:gridCol w:w="1355"/>
      </w:tblGrid>
      <w:tr>
        <w:trPr/>
        <w:tc>
          <w:tcPr>
            <w:tcW w:w="260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Delaware</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98-1448275</w:t>
            </w:r>
          </w:p>
        </w:tc>
      </w:tr>
      <w:tr>
        <w:trPr/>
        <w:tc>
          <w:tcPr>
            <w:tcW w:w="260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(State or other jurisdiction of</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incorporation or organization)</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(I.R.S. Employer</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Identification No.)</w:t>
            </w:r>
          </w:p>
        </w:tc>
      </w:tr>
      <w:tr>
        <w:trPr/>
        <w:tc>
          <w:tcPr>
            <w:tcW w:w="260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1065 East Hillsdale Blvd., Suite 100</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Foster City, California</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94404</w:t>
            </w:r>
          </w:p>
        </w:tc>
      </w:tr>
      <w:tr>
        <w:trPr/>
        <w:tc>
          <w:tcPr>
            <w:tcW w:w="260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(Address of principal executive offices)</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(Zip Code)</w:t>
            </w:r>
          </w:p>
        </w:tc>
      </w:tr>
    </w:tbl>
    <w:p>
      <w:pPr>
        <w:pStyle w:val="TextBody"/>
        <w:spacing w:before="60" w:after="0"/>
        <w:jc w:val="center"/>
        <w:rPr>
          <w:rFonts w:ascii="Times New Roman" w:hAnsi="Times New Roman"/>
          <w:b/>
          <w:i w:val="false"/>
          <w:caps w:val="false"/>
          <w:smallCaps w:val="false"/>
          <w:sz w:val="14"/>
        </w:rPr>
      </w:pPr>
      <w:r>
        <w:rPr>
          <w:rFonts w:ascii="Times New Roman" w:hAnsi="Times New Roman"/>
          <w:b/>
          <w:i w:val="false"/>
          <w:caps w:val="false"/>
          <w:smallCaps w:val="false"/>
          <w:sz w:val="14"/>
        </w:rPr>
        <w:t xml:space="preserve">Registrant’s telephone number, including area code: (650) 525-5535 </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6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Securities registered pursuant to Section 12(b) of the Act: </w:t>
      </w:r>
    </w:p>
    <w:p>
      <w:pPr>
        <w:pStyle w:val="TextBody"/>
        <w:spacing w:before="0" w:after="0"/>
        <w:rPr/>
      </w:pPr>
      <w:r>
        <w:rPr/>
        <w:t> </w:t>
      </w:r>
    </w:p>
    <w:tbl>
      <w:tblPr>
        <w:tblW w:w="7935" w:type="dxa"/>
        <w:jc w:val="left"/>
        <w:tblInd w:w="0" w:type="dxa"/>
        <w:tblCellMar>
          <w:top w:w="0" w:type="dxa"/>
          <w:left w:w="0" w:type="dxa"/>
          <w:bottom w:w="28" w:type="dxa"/>
          <w:right w:w="0" w:type="dxa"/>
        </w:tblCellMar>
      </w:tblPr>
      <w:tblGrid>
        <w:gridCol w:w="3260"/>
        <w:gridCol w:w="60"/>
        <w:gridCol w:w="1370"/>
        <w:gridCol w:w="60"/>
        <w:gridCol w:w="3185"/>
      </w:tblGrid>
      <w:tr>
        <w:trPr/>
        <w:tc>
          <w:tcPr>
            <w:tcW w:w="326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137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Trading 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18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Name of each exchange on which registered</w:t>
            </w:r>
          </w:p>
        </w:tc>
      </w:tr>
      <w:tr>
        <w:trPr/>
        <w:tc>
          <w:tcPr>
            <w:tcW w:w="326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highlight w:val="white"/>
              </w:rPr>
            </w:pPr>
            <w:r>
              <w:rPr>
                <w:rFonts w:ascii="Times New Roman" w:hAnsi="Times New Roman"/>
                <w:b/>
                <w:i w:val="false"/>
                <w:caps w:val="false"/>
                <w:smallCaps w:val="false"/>
                <w:color w:val="000000"/>
                <w:sz w:val="16"/>
                <w:highlight w:val="white"/>
              </w:rPr>
              <w:t>Common Stock, $0.0001 par value per share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137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TERN</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185"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highlight w:val="white"/>
              </w:rPr>
            </w:pPr>
            <w:r>
              <w:rPr>
                <w:rFonts w:ascii="Times New Roman" w:hAnsi="Times New Roman"/>
                <w:b/>
                <w:i w:val="false"/>
                <w:caps w:val="false"/>
                <w:smallCaps w:val="false"/>
                <w:color w:val="000000"/>
                <w:sz w:val="16"/>
                <w:highlight w:val="white"/>
              </w:rPr>
              <w:t>The Nasdaq Global Select Market</w:t>
            </w:r>
          </w:p>
        </w:tc>
      </w:tr>
    </w:tbl>
    <w:p>
      <w:pPr>
        <w:pStyle w:val="TextBody"/>
        <w:spacing w:before="60" w:after="0"/>
        <w:rPr/>
      </w:pPr>
      <w:r>
        <w:rPr/>
        <w: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Securities registered pursuant to Section 12(g) of the Act: </w:t>
      </w:r>
      <w:r>
        <w:rPr>
          <w:rFonts w:ascii="Times New Roman" w:hAnsi="Times New Roman"/>
          <w:b/>
          <w:i w:val="false"/>
          <w:caps w:val="false"/>
          <w:smallCaps w:val="false"/>
          <w:sz w:val="16"/>
        </w:rPr>
        <w:t xml:space="preserve">None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if the Registrant is a well-known seasoned issuer, as defined in Rule 405 of the Securities Act.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if the Registrant is not required to file reports pursuant to Section 13 or 15(d) of the Act.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565" w:type="dxa"/>
        <w:jc w:val="center"/>
        <w:tblInd w:w="0" w:type="dxa"/>
        <w:tblCellMar>
          <w:top w:w="0" w:type="dxa"/>
          <w:left w:w="0" w:type="dxa"/>
          <w:bottom w:w="0" w:type="dxa"/>
          <w:right w:w="0" w:type="dxa"/>
        </w:tblCellMar>
      </w:tblPr>
      <w:tblGrid>
        <w:gridCol w:w="1940"/>
        <w:gridCol w:w="60"/>
        <w:gridCol w:w="230"/>
        <w:gridCol w:w="120"/>
        <w:gridCol w:w="1925"/>
        <w:gridCol w:w="60"/>
        <w:gridCol w:w="230"/>
      </w:tblGrid>
      <w:tr>
        <w:trPr/>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25"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25"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pPr>
            <w:r>
              <w:rPr/>
              <w:t> </w:t>
            </w:r>
          </w:p>
        </w:tc>
        <w:tc>
          <w:tcPr>
            <w:tcW w:w="19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Indicate by check mark whether the Registrant is a shell company (as defined in Rule 12b-2 of the Exchange Act).  Yes ☐ No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The registrant’s common stock was not publicly traded as of the last business day of the registrant’s most recently completed second fiscal quarter. </w:t>
      </w:r>
    </w:p>
    <w:p>
      <w:pPr>
        <w:pStyle w:val="TextBody"/>
        <w:spacing w:before="6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The number of shares of Registrant’s Common Stock outstanding as of March 26, 2021 was 25,125,072. </w:t>
      </w:r>
    </w:p>
    <w:p>
      <w:pPr>
        <w:pStyle w:val="TextBody"/>
        <w:spacing w:before="6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DOCUMENTS INCORPORATED BY REFERENCE</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None.</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815"/>
        <w:gridCol w:w="9010"/>
        <w:gridCol w:w="380"/>
      </w:tblGrid>
      <w:tr>
        <w:trPr/>
        <w:tc>
          <w:tcPr>
            <w:tcW w:w="815"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9010" w:type="dxa"/>
            <w:tcBorders/>
            <w:shd w:fill="FFFFFF" w:val="clear"/>
            <w:tcMar>
              <w:bottom w:w="0" w:type="dxa"/>
            </w:tcMar>
          </w:tcPr>
          <w:p>
            <w:pPr>
              <w:pStyle w:val="TableContents"/>
              <w:spacing w:before="0" w:after="0"/>
              <w:ind w:left="0" w:right="0" w:hanging="0"/>
              <w:rPr/>
            </w:pPr>
            <w:hyperlink w:anchor="ITEM_1_BUSINESS">
              <w:r>
                <w:rPr>
                  <w:rStyle w:val="InternetLink"/>
                  <w:rFonts w:ascii="Times New Roman" w:hAnsi="Times New Roman"/>
                  <w:b w:val="false"/>
                  <w:i w:val="false"/>
                  <w:caps w:val="false"/>
                  <w:smallCaps w:val="false"/>
                  <w:sz w:val="20"/>
                  <w:u w:val="single"/>
                </w:rPr>
                <w:t>Business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1A.</w:t>
            </w:r>
          </w:p>
        </w:tc>
        <w:tc>
          <w:tcPr>
            <w:tcW w:w="9010" w:type="dxa"/>
            <w:tcBorders/>
            <w:shd w:fill="FFFFFF" w:val="clear"/>
            <w:tcMar>
              <w:bottom w:w="0" w:type="dxa"/>
            </w:tcMa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1B.</w:t>
            </w:r>
          </w:p>
        </w:tc>
        <w:tc>
          <w:tcPr>
            <w:tcW w:w="9010" w:type="dxa"/>
            <w:tcBorders/>
            <w:shd w:fill="FFFFFF" w:val="clear"/>
            <w:tcMar>
              <w:bottom w:w="0" w:type="dxa"/>
            </w:tcMar>
          </w:tcPr>
          <w:p>
            <w:pPr>
              <w:pStyle w:val="TableContents"/>
              <w:spacing w:before="0" w:after="0"/>
              <w:ind w:left="0" w:right="0" w:hanging="0"/>
              <w:rPr/>
            </w:pPr>
            <w:hyperlink w:anchor="ITEM_1B_UNRESOLVED_STAFF_COMMENTS">
              <w:r>
                <w:rPr>
                  <w:rStyle w:val="InternetLink"/>
                  <w:rFonts w:ascii="Times New Roman" w:hAnsi="Times New Roman"/>
                  <w:b w:val="false"/>
                  <w:i w:val="false"/>
                  <w:caps w:val="false"/>
                  <w:smallCaps w:val="false"/>
                  <w:sz w:val="20"/>
                  <w:u w:val="single"/>
                </w:rPr>
                <w:t>Unresolved Staff Comments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9010" w:type="dxa"/>
            <w:tcBorders/>
            <w:shd w:fill="FFFFFF" w:val="clear"/>
            <w:tcMar>
              <w:bottom w:w="0" w:type="dxa"/>
            </w:tcMar>
          </w:tcPr>
          <w:p>
            <w:pPr>
              <w:pStyle w:val="TableContents"/>
              <w:spacing w:before="0" w:after="0"/>
              <w:ind w:left="0" w:right="0" w:hanging="0"/>
              <w:rPr/>
            </w:pPr>
            <w:hyperlink w:anchor="ITEM_2_PROPERTIES">
              <w:r>
                <w:rPr>
                  <w:rStyle w:val="InternetLink"/>
                  <w:rFonts w:ascii="Times New Roman" w:hAnsi="Times New Roman"/>
                  <w:b w:val="false"/>
                  <w:i w:val="false"/>
                  <w:caps w:val="false"/>
                  <w:smallCaps w:val="false"/>
                  <w:sz w:val="20"/>
                  <w:u w:val="single"/>
                </w:rPr>
                <w:t>Properties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9010" w:type="dxa"/>
            <w:tcBorders/>
            <w:shd w:fill="FFFFFF" w:val="clear"/>
            <w:tcMar>
              <w:bottom w:w="0" w:type="dxa"/>
            </w:tcMar>
          </w:tcPr>
          <w:p>
            <w:pPr>
              <w:pStyle w:val="TableContents"/>
              <w:spacing w:before="0" w:after="0"/>
              <w:ind w:left="0" w:right="0" w:hanging="0"/>
              <w:rPr/>
            </w:pPr>
            <w:hyperlink w:anchor="ITEM_3_LEGAL_PROCEEDINGS">
              <w:r>
                <w:rPr>
                  <w:rStyle w:val="InternetLink"/>
                  <w:rFonts w:ascii="Times New Roman" w:hAnsi="Times New Roman"/>
                  <w:b w:val="false"/>
                  <w:i w:val="false"/>
                  <w:caps w:val="false"/>
                  <w:smallCaps w:val="false"/>
                  <w:sz w:val="20"/>
                  <w:u w:val="single"/>
                </w:rPr>
                <w:t>Legal Proceedings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9010" w:type="dxa"/>
            <w:tcBorders/>
            <w:shd w:fill="FFFFFF" w:val="clear"/>
            <w:tcMar>
              <w:bottom w:w="0" w:type="dxa"/>
            </w:tcMar>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5.</w:t>
            </w:r>
          </w:p>
        </w:tc>
        <w:tc>
          <w:tcPr>
            <w:tcW w:w="9010" w:type="dxa"/>
            <w:tcBorders/>
            <w:shd w:fill="FFFFFF" w:val="clear"/>
            <w:tcMar>
              <w:bottom w:w="0" w:type="dxa"/>
            </w:tcMar>
          </w:tcPr>
          <w:p>
            <w:pPr>
              <w:pStyle w:val="TableContents"/>
              <w:spacing w:before="0" w:after="0"/>
              <w:ind w:left="0" w:right="0" w:hanging="0"/>
              <w:rPr/>
            </w:pPr>
            <w:hyperlink w:anchor="ITEM_5_MARKET_FOR_REGISTRANTS_COMMON_EQU">
              <w:r>
                <w:rPr>
                  <w:rStyle w:val="InternetLink"/>
                  <w:rFonts w:ascii="Times New Roman" w:hAnsi="Times New Roman"/>
                  <w:b w:val="false"/>
                  <w:i w:val="false"/>
                  <w:caps w:val="false"/>
                  <w:smallCaps w:val="false"/>
                  <w:sz w:val="20"/>
                  <w:u w:val="single"/>
                </w:rPr>
                <w:t>Market for Registrant’s Common Equity, Related Stockholder Matters and Issuer Purchases of Equity Securities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6.</w:t>
            </w:r>
          </w:p>
        </w:tc>
        <w:tc>
          <w:tcPr>
            <w:tcW w:w="9010" w:type="dxa"/>
            <w:tcBorders/>
            <w:shd w:fill="FFFFFF" w:val="clear"/>
            <w:tcMar>
              <w:bottom w:w="0" w:type="dxa"/>
            </w:tcMar>
          </w:tcPr>
          <w:p>
            <w:pPr>
              <w:pStyle w:val="TableContents"/>
              <w:spacing w:before="0" w:after="0"/>
              <w:ind w:left="0" w:right="0" w:hanging="0"/>
              <w:rPr/>
            </w:pPr>
            <w:hyperlink w:anchor="ITEM_6_SELECTED_FINANCIAL_DATA">
              <w:r>
                <w:rPr>
                  <w:rStyle w:val="InternetLink"/>
                  <w:rFonts w:ascii="Times New Roman" w:hAnsi="Times New Roman"/>
                  <w:b w:val="false"/>
                  <w:i w:val="false"/>
                  <w:caps w:val="false"/>
                  <w:smallCaps w:val="false"/>
                  <w:sz w:val="20"/>
                  <w:u w:val="single"/>
                </w:rPr>
                <w:t>Selected Financial Data</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7.</w:t>
            </w:r>
          </w:p>
        </w:tc>
        <w:tc>
          <w:tcPr>
            <w:tcW w:w="9010" w:type="dxa"/>
            <w:tcBorders/>
            <w:shd w:fill="FFFFFF" w:val="clear"/>
            <w:tcMar>
              <w:bottom w:w="0" w:type="dxa"/>
            </w:tcMar>
          </w:tcPr>
          <w:p>
            <w:pPr>
              <w:pStyle w:val="TableContents"/>
              <w:spacing w:before="0" w:after="0"/>
              <w:ind w:left="0" w:right="0" w:hanging="0"/>
              <w:rPr/>
            </w:pPr>
            <w:hyperlink w:anchor="ITEM_7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7A.</w:t>
            </w:r>
          </w:p>
        </w:tc>
        <w:tc>
          <w:tcPr>
            <w:tcW w:w="9010" w:type="dxa"/>
            <w:tcBorders/>
            <w:shd w:fill="FFFFFF" w:val="clear"/>
            <w:tcMar>
              <w:bottom w:w="0" w:type="dxa"/>
            </w:tcMar>
          </w:tcPr>
          <w:p>
            <w:pPr>
              <w:pStyle w:val="TableContents"/>
              <w:spacing w:before="0" w:after="0"/>
              <w:ind w:left="0" w:right="0" w:hanging="0"/>
              <w:rPr/>
            </w:pPr>
            <w:hyperlink w:anchor="ITEM_7A_QUANTITATIVE_QUALITATIVE_DISCLOS">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8.</w:t>
            </w:r>
          </w:p>
        </w:tc>
        <w:tc>
          <w:tcPr>
            <w:tcW w:w="9010" w:type="dxa"/>
            <w:tcBorders/>
            <w:shd w:fill="FFFFFF" w:val="clear"/>
            <w:tcMar>
              <w:bottom w:w="0" w:type="dxa"/>
            </w:tcMar>
          </w:tcPr>
          <w:p>
            <w:pPr>
              <w:pStyle w:val="TableContents"/>
              <w:spacing w:before="0" w:after="0"/>
              <w:ind w:left="0" w:right="0" w:hanging="0"/>
              <w:rPr/>
            </w:pPr>
            <w:hyperlink w:anchor="ITEM_8_FINANCIAL_STATEMENTS_SUPPLE_1">
              <w:r>
                <w:rPr>
                  <w:rStyle w:val="InternetLink"/>
                  <w:rFonts w:ascii="Times New Roman" w:hAnsi="Times New Roman"/>
                  <w:b w:val="false"/>
                  <w:i w:val="false"/>
                  <w:caps w:val="false"/>
                  <w:smallCaps w:val="false"/>
                  <w:sz w:val="20"/>
                  <w:u w:val="single"/>
                </w:rPr>
                <w:t>Financial Statements and Supplementary Data</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w:t>
            </w:r>
          </w:p>
        </w:tc>
        <w:tc>
          <w:tcPr>
            <w:tcW w:w="9010" w:type="dxa"/>
            <w:tcBorders/>
            <w:shd w:fill="FFFFFF" w:val="clear"/>
            <w:tcMar>
              <w:bottom w:w="0" w:type="dxa"/>
            </w:tcMar>
          </w:tcPr>
          <w:p>
            <w:pPr>
              <w:pStyle w:val="TableContents"/>
              <w:spacing w:before="0" w:after="0"/>
              <w:ind w:left="0" w:right="0" w:hanging="0"/>
              <w:rPr/>
            </w:pPr>
            <w:hyperlink w:anchor="ITEM_9_CHANGES_IN_DISAGREEMENTS_WITH_ACC">
              <w:r>
                <w:rPr>
                  <w:rStyle w:val="InternetLink"/>
                  <w:rFonts w:ascii="Times New Roman" w:hAnsi="Times New Roman"/>
                  <w:b w:val="false"/>
                  <w:i w:val="false"/>
                  <w:caps w:val="false"/>
                  <w:smallCaps w:val="false"/>
                  <w:sz w:val="20"/>
                  <w:u w:val="single"/>
                </w:rPr>
                <w:t>Changes in and Disagreements with Accountants on Accounting and Financial Disclosure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9A.</w:t>
            </w:r>
          </w:p>
        </w:tc>
        <w:tc>
          <w:tcPr>
            <w:tcW w:w="9010" w:type="dxa"/>
            <w:tcBorders/>
            <w:shd w:fill="FFFFFF" w:val="clear"/>
            <w:tcMar>
              <w:bottom w:w="0" w:type="dxa"/>
            </w:tcMar>
          </w:tcPr>
          <w:p>
            <w:pPr>
              <w:pStyle w:val="TableContents"/>
              <w:spacing w:before="0" w:after="0"/>
              <w:ind w:left="0" w:right="0" w:hanging="0"/>
              <w:rPr/>
            </w:pPr>
            <w:hyperlink w:anchor="ITEM_9A_CONTROLS_PROCEDURES">
              <w:r>
                <w:rPr>
                  <w:rStyle w:val="InternetLink"/>
                  <w:rFonts w:ascii="Times New Roman" w:hAnsi="Times New Roman"/>
                  <w:b w:val="false"/>
                  <w:i w:val="false"/>
                  <w:caps w:val="false"/>
                  <w:smallCaps w:val="false"/>
                  <w:sz w:val="20"/>
                  <w:u w:val="single"/>
                </w:rPr>
                <w:t>Controls and Procedures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9B.</w:t>
            </w:r>
          </w:p>
        </w:tc>
        <w:tc>
          <w:tcPr>
            <w:tcW w:w="9010" w:type="dxa"/>
            <w:tcBorders/>
            <w:shd w:fill="FFFFFF" w:val="clear"/>
            <w:tcMar>
              <w:bottom w:w="0" w:type="dxa"/>
            </w:tcMar>
          </w:tcPr>
          <w:p>
            <w:pPr>
              <w:pStyle w:val="TableContents"/>
              <w:spacing w:before="0" w:after="0"/>
              <w:ind w:left="0" w:right="0" w:hanging="0"/>
              <w:rPr/>
            </w:pPr>
            <w:hyperlink w:anchor="ITEM_9B_OR_INFORMATION">
              <w:r>
                <w:rPr>
                  <w:rStyle w:val="InternetLink"/>
                  <w:rFonts w:ascii="Times New Roman" w:hAnsi="Times New Roman"/>
                  <w:b w:val="false"/>
                  <w:i w:val="false"/>
                  <w:caps w:val="false"/>
                  <w:smallCaps w:val="false"/>
                  <w:sz w:val="20"/>
                  <w:u w:val="single"/>
                </w:rPr>
                <w:t>Other Information</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III</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10.</w:t>
            </w:r>
          </w:p>
        </w:tc>
        <w:tc>
          <w:tcPr>
            <w:tcW w:w="9010" w:type="dxa"/>
            <w:tcBorders/>
            <w:shd w:fill="FFFFFF" w:val="clear"/>
            <w:tcMar>
              <w:bottom w:w="0" w:type="dxa"/>
            </w:tcMar>
          </w:tcPr>
          <w:p>
            <w:pPr>
              <w:pStyle w:val="TableContents"/>
              <w:spacing w:before="0" w:after="0"/>
              <w:ind w:left="0" w:right="0" w:hanging="0"/>
              <w:rPr/>
            </w:pPr>
            <w:hyperlink w:anchor="ITEM_10_DIRECTORS_EXECUTIVE_FICERS_CORPO">
              <w:r>
                <w:rPr>
                  <w:rStyle w:val="InternetLink"/>
                  <w:rFonts w:ascii="Times New Roman" w:hAnsi="Times New Roman"/>
                  <w:b w:val="false"/>
                  <w:i w:val="false"/>
                  <w:caps w:val="false"/>
                  <w:smallCaps w:val="false"/>
                  <w:sz w:val="20"/>
                  <w:u w:val="single"/>
                </w:rPr>
                <w:t>Directors, Executive Officers and Corporate Governance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11.</w:t>
            </w:r>
          </w:p>
        </w:tc>
        <w:tc>
          <w:tcPr>
            <w:tcW w:w="9010" w:type="dxa"/>
            <w:tcBorders/>
            <w:shd w:fill="FFFFFF" w:val="clear"/>
            <w:tcMar>
              <w:bottom w:w="0" w:type="dxa"/>
            </w:tcMar>
          </w:tcPr>
          <w:p>
            <w:pPr>
              <w:pStyle w:val="TableContents"/>
              <w:spacing w:before="0" w:after="0"/>
              <w:ind w:left="0" w:right="0" w:hanging="0"/>
              <w:rPr/>
            </w:pPr>
            <w:hyperlink w:anchor="ITEM_11_EXECUTIVE_COMPENSATION">
              <w:r>
                <w:rPr>
                  <w:rStyle w:val="InternetLink"/>
                  <w:rFonts w:ascii="Times New Roman" w:hAnsi="Times New Roman"/>
                  <w:b w:val="false"/>
                  <w:i w:val="false"/>
                  <w:caps w:val="false"/>
                  <w:smallCaps w:val="false"/>
                  <w:sz w:val="20"/>
                  <w:u w:val="single"/>
                </w:rPr>
                <w:t>Executive Compensation</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12.</w:t>
            </w:r>
          </w:p>
        </w:tc>
        <w:tc>
          <w:tcPr>
            <w:tcW w:w="9010" w:type="dxa"/>
            <w:tcBorders/>
            <w:shd w:fill="FFFFFF" w:val="clear"/>
            <w:tcMar>
              <w:bottom w:w="0" w:type="dxa"/>
            </w:tcMar>
          </w:tcPr>
          <w:p>
            <w:pPr>
              <w:pStyle w:val="TableContents"/>
              <w:spacing w:before="0" w:after="0"/>
              <w:ind w:left="0" w:right="0" w:hanging="0"/>
              <w:rPr/>
            </w:pPr>
            <w:hyperlink w:anchor="ITEM_12_SECURITY_OWNERSHIP_CERTAIN_BENEF">
              <w:r>
                <w:rPr>
                  <w:rStyle w:val="InternetLink"/>
                  <w:rFonts w:ascii="Times New Roman" w:hAnsi="Times New Roman"/>
                  <w:b w:val="false"/>
                  <w:i w:val="false"/>
                  <w:caps w:val="false"/>
                  <w:smallCaps w:val="false"/>
                  <w:sz w:val="20"/>
                  <w:u w:val="single"/>
                </w:rPr>
                <w:t>Security Ownership of Certain Beneficial Owners and Management and Related Stockholder Matters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13.</w:t>
            </w:r>
          </w:p>
        </w:tc>
        <w:tc>
          <w:tcPr>
            <w:tcW w:w="9010" w:type="dxa"/>
            <w:tcBorders/>
            <w:shd w:fill="FFFFFF" w:val="clear"/>
            <w:tcMar>
              <w:bottom w:w="0" w:type="dxa"/>
            </w:tcMar>
          </w:tcPr>
          <w:p>
            <w:pPr>
              <w:pStyle w:val="TableContents"/>
              <w:spacing w:before="0" w:after="0"/>
              <w:ind w:left="0" w:right="0" w:hanging="0"/>
              <w:rPr/>
            </w:pPr>
            <w:hyperlink w:anchor="ITEM_13_CERTAIN_RELATIONSHIPS_RELATED_TR">
              <w:r>
                <w:rPr>
                  <w:rStyle w:val="InternetLink"/>
                  <w:rFonts w:ascii="Times New Roman" w:hAnsi="Times New Roman"/>
                  <w:b w:val="false"/>
                  <w:i w:val="false"/>
                  <w:caps w:val="false"/>
                  <w:smallCaps w:val="false"/>
                  <w:sz w:val="20"/>
                  <w:u w:val="single"/>
                </w:rPr>
                <w:t>Certain Relationships and Related Transactions, and Director Independence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14.</w:t>
            </w:r>
          </w:p>
        </w:tc>
        <w:tc>
          <w:tcPr>
            <w:tcW w:w="9010" w:type="dxa"/>
            <w:tcBorders/>
            <w:shd w:fill="FFFFFF" w:val="clear"/>
            <w:tcMar>
              <w:bottom w:w="0" w:type="dxa"/>
            </w:tcMar>
          </w:tcPr>
          <w:p>
            <w:pPr>
              <w:pStyle w:val="TableContents"/>
              <w:spacing w:before="0" w:after="0"/>
              <w:ind w:left="0" w:right="0" w:hanging="0"/>
              <w:rPr/>
            </w:pPr>
            <w:hyperlink w:anchor="ITEM_14_PRINCIPAL_ACCOUNTING_FEES_SERVIC">
              <w:r>
                <w:rPr>
                  <w:rStyle w:val="InternetLink"/>
                  <w:rFonts w:ascii="Times New Roman" w:hAnsi="Times New Roman"/>
                  <w:b w:val="false"/>
                  <w:i w:val="false"/>
                  <w:caps w:val="false"/>
                  <w:smallCaps w:val="false"/>
                  <w:sz w:val="20"/>
                  <w:u w:val="single"/>
                </w:rPr>
                <w:t>Principal Accounting Fees and Services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IV</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15.</w:t>
            </w:r>
          </w:p>
        </w:tc>
        <w:tc>
          <w:tcPr>
            <w:tcW w:w="9010" w:type="dxa"/>
            <w:tcBorders/>
            <w:shd w:fill="FFFFFF" w:val="clear"/>
            <w:tcMar>
              <w:bottom w:w="0" w:type="dxa"/>
            </w:tcMar>
          </w:tcPr>
          <w:p>
            <w:pPr>
              <w:pStyle w:val="TableContents"/>
              <w:spacing w:before="0" w:after="0"/>
              <w:ind w:left="0" w:right="0" w:hanging="0"/>
              <w:rPr/>
            </w:pPr>
            <w:hyperlink w:anchor="ITEM_15_EXHIBITS_FINANCIAL_STATEMENT_SCH">
              <w:r>
                <w:rPr>
                  <w:rStyle w:val="InternetLink"/>
                  <w:rFonts w:ascii="Times New Roman" w:hAnsi="Times New Roman"/>
                  <w:b w:val="false"/>
                  <w:i w:val="false"/>
                  <w:caps w:val="false"/>
                  <w:smallCaps w:val="false"/>
                  <w:sz w:val="20"/>
                  <w:u w:val="single"/>
                </w:rPr>
                <w:t>Exhibits and Financial Statement Schedules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16</w:t>
            </w:r>
          </w:p>
        </w:tc>
        <w:tc>
          <w:tcPr>
            <w:tcW w:w="9010" w:type="dxa"/>
            <w:tcBorders/>
            <w:shd w:fill="FFFFFF" w:val="clear"/>
            <w:tcMar>
              <w:bottom w:w="0" w:type="dxa"/>
            </w:tcMar>
          </w:tcPr>
          <w:p>
            <w:pPr>
              <w:pStyle w:val="TableContents"/>
              <w:spacing w:before="0" w:after="0"/>
              <w:ind w:left="0" w:right="0" w:hanging="0"/>
              <w:rPr/>
            </w:pPr>
            <w:hyperlink w:anchor="ITEM_16_FORM_10K_SUMMARY">
              <w:r>
                <w:rPr>
                  <w:rStyle w:val="InternetLink"/>
                  <w:rFonts w:ascii="Times New Roman" w:hAnsi="Times New Roman"/>
                  <w:b w:val="false"/>
                  <w:i w:val="false"/>
                  <w:caps w:val="false"/>
                  <w:smallCaps w:val="false"/>
                  <w:sz w:val="20"/>
                  <w:u w:val="single"/>
                </w:rPr>
                <w:t>Form 10-K Summary</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w:t>
            </w:r>
          </w:p>
        </w:tc>
      </w:tr>
      <w:tr>
        <w:trPr/>
        <w:tc>
          <w:tcPr>
            <w:tcW w:w="815" w:type="dxa"/>
            <w:tcBorders/>
            <w:shd w:fill="FFFFFF" w:val="clear"/>
            <w:tcMar>
              <w:bottom w:w="0" w:type="dxa"/>
            </w:tcMar>
          </w:tcPr>
          <w:p>
            <w:pPr>
              <w:pStyle w:val="TableContents"/>
              <w:spacing w:before="0" w:after="0"/>
              <w:ind w:left="137" w:right="0" w:hanging="0"/>
              <w:rPr/>
            </w:pPr>
            <w:r>
              <w:rPr/>
              <w:t> </w:t>
            </w:r>
          </w:p>
        </w:tc>
        <w:tc>
          <w:tcPr>
            <w:tcW w:w="9010" w:type="dxa"/>
            <w:tcBorders/>
            <w:shd w:fill="FFFFFF" w:val="clear"/>
            <w:tcMar>
              <w:bottom w:w="0" w:type="dxa"/>
            </w:tcMa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Signatures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2" w:name="_AEIOULastRenderedPageBreakAEIOU1"/>
      <w:bookmarkEnd w:id="2"/>
      <w:r>
        <w:rPr>
          <w:rFonts w:ascii="Times New Roman" w:hAnsi="Times New Roman"/>
          <w:b/>
          <w:i w:val="false"/>
          <w:caps w:val="false"/>
          <w:smallCaps w:val="false"/>
          <w:color w:val="000000"/>
          <w:sz w:val="20"/>
        </w:rPr>
        <w:t>SPECIAL NOTE REGARDING FORWARD-LOOKING STATEMENTS</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related to the global COVID 19 pandemic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the potential market size and size of the potential patient populations for our single-agent and combination therapy candidates and any future single-agent and combination therapy candidates if approved for commercial use;</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clinical and regulatory development plans;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with regard to the results of our clinical studies, preclinical studies and research and development programs, including the timing and availability of data from such studies;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timing of commencement of future nonclinical studies and clinical trials and research and development programs;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acquire, discover, develop and advance single-agent and combination therapy candidates into, and successfully complete, clinical trials;</w:t>
            </w:r>
          </w:p>
        </w:tc>
      </w:tr>
    </w:tbl>
    <w:tbl>
      <w:tblPr>
        <w:tblW w:w="7315" w:type="dxa"/>
        <w:jc w:val="left"/>
        <w:tblInd w:w="0" w:type="dxa"/>
        <w:tblCellMar>
          <w:top w:w="0" w:type="dxa"/>
          <w:left w:w="0" w:type="dxa"/>
          <w:bottom w:w="0" w:type="dxa"/>
          <w:right w:w="0" w:type="dxa"/>
        </w:tblCellMar>
      </w:tblPr>
      <w:tblGrid>
        <w:gridCol w:w="60"/>
        <w:gridCol w:w="110"/>
        <w:gridCol w:w="71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1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intentions and our ability to establish collaborations and/or partnerships;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timing or likelihood of regulatory filings and approvals for our single-agent and combination therapy candidates;</w:t>
            </w:r>
          </w:p>
        </w:tc>
      </w:tr>
    </w:tbl>
    <w:tbl>
      <w:tblPr>
        <w:tblW w:w="7990" w:type="dxa"/>
        <w:jc w:val="left"/>
        <w:tblInd w:w="0" w:type="dxa"/>
        <w:tblCellMar>
          <w:top w:w="0" w:type="dxa"/>
          <w:left w:w="0" w:type="dxa"/>
          <w:bottom w:w="0" w:type="dxa"/>
          <w:right w:w="0" w:type="dxa"/>
        </w:tblCellMar>
      </w:tblPr>
      <w:tblGrid>
        <w:gridCol w:w="60"/>
        <w:gridCol w:w="110"/>
        <w:gridCol w:w="78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8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commercialization, marketing and manufacturing capabilities and expectations;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intentions with respect to the commercialization of our single-agent and combination therapy candidates;</w:t>
            </w:r>
          </w:p>
        </w:tc>
      </w:tr>
    </w:tbl>
    <w:tbl>
      <w:tblPr>
        <w:tblW w:w="9595" w:type="dxa"/>
        <w:jc w:val="left"/>
        <w:tblInd w:w="0" w:type="dxa"/>
        <w:tblCellMar>
          <w:top w:w="0" w:type="dxa"/>
          <w:left w:w="0" w:type="dxa"/>
          <w:bottom w:w="0" w:type="dxa"/>
          <w:right w:w="0" w:type="dxa"/>
        </w:tblCellMar>
      </w:tblPr>
      <w:tblGrid>
        <w:gridCol w:w="60"/>
        <w:gridCol w:w="110"/>
        <w:gridCol w:w="94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4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pricing and reimbursement of our single-agent and combination therapy candidates, if approved;</w:t>
            </w:r>
          </w:p>
        </w:tc>
      </w:tr>
    </w:tbl>
    <w:tbl>
      <w:tblPr>
        <w:tblW w:w="8545" w:type="dxa"/>
        <w:jc w:val="left"/>
        <w:tblInd w:w="0" w:type="dxa"/>
        <w:tblCellMar>
          <w:top w:w="0" w:type="dxa"/>
          <w:left w:w="0" w:type="dxa"/>
          <w:bottom w:w="0" w:type="dxa"/>
          <w:right w:w="0" w:type="dxa"/>
        </w:tblCellMar>
      </w:tblPr>
      <w:tblGrid>
        <w:gridCol w:w="60"/>
        <w:gridCol w:w="110"/>
        <w:gridCol w:w="83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3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potential effects of COVID-19 on our preclinical and clinical programs and business;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implementation of our business model and strategic plans for our business and single-agent and combination therapy candidates, including additional indications for which we may pursue;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scope of protection we are able to establish, maintain, protect and enforce for intellectual property rights covering our single-agent and combination therapy candidates including the projected terms of patent protection;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estimates of our expenses, future revenue, capital requirements, our needs for additional financing and our ability to obtain additional capital;</w:t>
            </w:r>
          </w:p>
        </w:tc>
      </w:tr>
    </w:tbl>
    <w:tbl>
      <w:tblPr>
        <w:tblW w:w="3700" w:type="dxa"/>
        <w:jc w:val="left"/>
        <w:tblInd w:w="0" w:type="dxa"/>
        <w:tblCellMar>
          <w:top w:w="0" w:type="dxa"/>
          <w:left w:w="0" w:type="dxa"/>
          <w:bottom w:w="0" w:type="dxa"/>
          <w:right w:w="0" w:type="dxa"/>
        </w:tblCellMar>
      </w:tblPr>
      <w:tblGrid>
        <w:gridCol w:w="60"/>
        <w:gridCol w:w="110"/>
        <w:gridCol w:w="35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5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future financial performance; and</w:t>
            </w:r>
          </w:p>
        </w:tc>
      </w:tr>
    </w:tbl>
    <w:tbl>
      <w:tblPr>
        <w:tblW w:w="10120" w:type="dxa"/>
        <w:jc w:val="left"/>
        <w:tblInd w:w="0" w:type="dxa"/>
        <w:tblCellMar>
          <w:top w:w="0" w:type="dxa"/>
          <w:left w:w="0" w:type="dxa"/>
          <w:bottom w:w="0" w:type="dxa"/>
          <w:right w:w="0" w:type="dxa"/>
        </w:tblCellMar>
      </w:tblPr>
      <w:tblGrid>
        <w:gridCol w:w="60"/>
        <w:gridCol w:w="110"/>
        <w:gridCol w:w="99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9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developments and projections relating to our competitors and our industry, including competing products.</w:t>
            </w:r>
          </w:p>
        </w:tc>
      </w:tr>
    </w:tbl>
    <w:p>
      <w:pPr>
        <w:pStyle w:val="TextBody"/>
        <w:spacing w:before="240" w:after="0"/>
        <w:jc w:val="center"/>
        <w:rPr>
          <w:rFonts w:ascii="Times New Roman" w:hAnsi="Times New Roman"/>
          <w:b w:val="false"/>
          <w:i w:val="false"/>
          <w:caps w:val="false"/>
          <w:smallCaps w:val="false"/>
          <w:sz w:val="20"/>
        </w:rPr>
      </w:pPr>
      <w:bookmarkStart w:id="3" w:name="_AEIOULastRenderedPageBreakAEIOU2"/>
      <w:bookmarkEnd w:id="3"/>
      <w:r>
        <w:rPr>
          <w:rFonts w:ascii="Times New Roman" w:hAnsi="Times New Roman"/>
          <w:b w:val="false"/>
          <w:i w:val="false"/>
          <w:caps w:val="false"/>
          <w:smallCaps w:val="false"/>
          <w:sz w:val="20"/>
        </w:rPr>
        <w:t>ii</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Summary of material risks associated with our business</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principal risks and uncertainties affecting our business include the following: </w:t>
      </w:r>
    </w:p>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We are a clinical-stage biopharmaceutical company with a limited operating history and no products approved for commercial sale. We have incurred significant losses since our inception, and we anticipate that we will continue to incur significant losses for the foreseeable future, which, together with our limited operating history, makes it difficult to assess our future viability.</w:t>
            </w:r>
          </w:p>
        </w:tc>
      </w:tr>
    </w:tbl>
    <w:p>
      <w:pPr>
        <w:pStyle w:val="TextBody"/>
        <w:shd w:fill="FFFFFF" w:val="clear"/>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Unfavorable global economic or political conditions (including a recession or depression resulting from the COVID-19 pandemic) could adversely affect our business, financial condition or results of operations.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Clinical drug development involves a lengthy and expensive process with uncertain timelines and outcomes, and results of earlier studies and trials may not be predictive of future trial results. Furthermore, NASH is an indication for which there is no approved therapy in the United States or Europe and for which other development challenges exist such as the lack of widely-accepted noninvasive diagnostic methods. If the development of our single-agent and combination therapy candidates is unsuccessful or delayed, we may be unable to obtain required regulatory approvals and we may be unable to commercialize our single-agent and combination therapy candidates on a timely basis, if at all.</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We are early in our development efforts. Our business is heavily dependent on the successful development, regulatory approval and commercialization of our current and future single-agent and combination therapy candidates.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We face significant competition for our drug discovery and development efforts in an environment of rapid technological and scientific change, and our single-agent and combination therapy candidates, if approved, will face significant competition, which may prevent us from achieving significant market penetration. Many of our competitors have significantly greater resources than we do, and we may not be able to successfully compete with them.</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We rely on third parties to conduct, supervise and monitor our preclinical and clinical trials. If these third parties do not successfully carry out their contractual duties, meet rigorously enforced regulatory standards or meet expected deadlines, we may be unable to obtain regulatory approval for or commercialize any of our single-agent or combination therapy candidates on a timely basis or at all.</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We rely completely on third parties to manufacture our clinical drug supplies and we intend to rely on third parties to produce commercial supplies of any approved single-agent or combination therapy candidate, and our commercialization of any of our single-agent and combination therapy candidates could be stopped, delayed or made less profitable if those third parties fail to obtain approval of the FDA or comparable regulatory authorities, fail to provide us with sufficient quantities of drug product or fail to do so at acceptable quality levels or prices.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Our current and any future single-agent and combination therapy candidates could be alleged to infringe patent rights and other intellectual property rights of third parties, which may require costly litigation and, if we are not successful, could cause us to pay substantial damages and/or limit our ability to commercialize our single-agent and combination therapies.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tc>
      </w:tr>
    </w:tbl>
    <w:p>
      <w:pPr>
        <w:pStyle w:val="TextBody"/>
        <w:shd w:fill="FFFFFF" w:val="clear"/>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Our stock price may be volatile and you may not be able to resell shares of our common stock at or above the price you paid.</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iii</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summary risk factors described above should be read together with the text of the full risk factors below in the section entitled Item 1A.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iv</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pPr>
      <w:r>
        <w:rPr/>
        <w:t> </w:t>
      </w:r>
    </w:p>
    <w:p>
      <w:pPr>
        <w:pStyle w:val="TextBody"/>
        <w:spacing w:before="0" w:after="0"/>
        <w:jc w:val="center"/>
        <w:rPr>
          <w:rFonts w:ascii="Times New Roman" w:hAnsi="Times New Roman"/>
          <w:b/>
          <w:i w:val="false"/>
          <w:caps w:val="false"/>
          <w:smallCaps w:val="false"/>
          <w:sz w:val="20"/>
        </w:rPr>
      </w:pPr>
      <w:bookmarkStart w:id="4" w:name="PART_I"/>
      <w:bookmarkEnd w:id="4"/>
      <w:r>
        <w:rPr>
          <w:rFonts w:ascii="Times New Roman" w:hAnsi="Times New Roman"/>
          <w:b/>
          <w:i w:val="false"/>
          <w:caps w:val="false"/>
          <w:smallCaps w:val="false"/>
          <w:sz w:val="20"/>
        </w:rPr>
        <w:t>PART I</w:t>
      </w:r>
    </w:p>
    <w:p>
      <w:pPr>
        <w:pStyle w:val="TextBody"/>
        <w:spacing w:before="240" w:after="0"/>
        <w:jc w:val="both"/>
        <w:rPr>
          <w:rFonts w:ascii="Times New Roman" w:hAnsi="Times New Roman"/>
          <w:b/>
          <w:i w:val="false"/>
          <w:caps w:val="false"/>
          <w:smallCaps w:val="false"/>
          <w:sz w:val="20"/>
        </w:rPr>
      </w:pPr>
      <w:bookmarkStart w:id="5" w:name="ITEM_1_BUSINESS"/>
      <w:bookmarkEnd w:id="5"/>
      <w:r>
        <w:rPr>
          <w:rFonts w:ascii="Times New Roman" w:hAnsi="Times New Roman"/>
          <w:b/>
          <w:i w:val="false"/>
          <w:caps w:val="false"/>
          <w:smallCaps w:val="false"/>
          <w:sz w:val="20"/>
        </w:rPr>
        <w:t xml:space="preserve">Item 1. Business.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Company Overview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clinical-stage biopharmaceutical company developing a portfolio of small-molecule single-agent and combination therapy candidates for the treatment of non-alcoholic steatohepatitis, or NASH, and other chronic liver diseases. Our programs are based on clinically-validated and complementary mechanisms of action to address the multiple hepatic disease processes of NASH in order to drive meaningful clinical benefits for patients. The mechanisms of action targeted by our current drug candidates are the same mechanisms of action targeted by other drug candidates that have achieved clinical proof-of-concept in NASH clinical trials and have demonstrated significant improvements on histological and non-invasive markers of the disease, though no drug has been approved for the treatment of NASH in the United States or Europe. Our most advanced program is TERN-101, a liver-distributed, non-bile acid Farnesoid X Receptor agonist that has demonstrated sustained liver FXR activation, as well as a favorable tolerability profile across multiple Phase 1 clinical trials. In our Phase 1 clinical trials, no pruritus, or itching, or increases in LDL cholesterol levels as compared to the control group were observed—unlike in Phase 1 clinical trials of other FXR agonists conducted by third parties. Our Phase 2a clinical trial of TERN-101 in NASH patients (the LIFT Study) was fully enrolled in January 2021 and we expect top-line data in July 2021. Our second clinical stage program, TERN-201, is a highly selective inhibitor of Vascular Adhesion Protein-1. We intend to start our Phase 1b clinical trial of TERN-201 in NASH patients in the first half of 2021 and expect top-line data in the first half of 2022. Our third clinical stage program is TERN-501, a Thyroid Hormone Receptor beta agonist with high metabolic stability, enhanced liver distribution and greater selectivity for THR-β compared to other THR-β agonists in development. In January 2021, the FDA cleared our investigational new drug application, or IND, for TERN-501. In March 2021, we announced the initiation of our Phase 1 first-in-human clinical trial of TERN-501 and we expect top-line data in the second half of 2021. We are also pursuing two combination therapy programs to address the multiple disease processes of NASH and expect to initiate a Phase 2a clinical proof-of-concept trial evaluating a combination of TERN-101 and TERN-501 in the first half of 2022.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NASH is a severe form of non-alcoholic fatty liver disease, or NAFLD, that affects up to 15 million people in the United States, and up to 6% of the global population, for which there is currently no approved therapy in the United States or Europe. In a study published in </w:t>
      </w:r>
      <w:r>
        <w:rPr>
          <w:rFonts w:ascii="Times New Roman" w:hAnsi="Times New Roman"/>
          <w:b w:val="false"/>
          <w:i/>
          <w:caps w:val="false"/>
          <w:smallCaps w:val="false"/>
          <w:sz w:val="20"/>
        </w:rPr>
        <w:t>Hepatology</w:t>
      </w:r>
      <w:r>
        <w:rPr>
          <w:rFonts w:ascii="Times New Roman" w:hAnsi="Times New Roman"/>
          <w:b w:val="false"/>
          <w:i w:val="false"/>
          <w:caps w:val="false"/>
          <w:smallCaps w:val="false"/>
          <w:sz w:val="20"/>
        </w:rPr>
        <w:t xml:space="preserve"> in 2016, direct healthcare costs associated with NAFLD and NASH in the United States in 2016 were estimated to be approximately $100 billion, in the absence of approved therapies. Severe progression of NASH can lead to cirrhosis, decompensated liver disease and increased risk for hepatic carcinoma and liver-related mortality. NASH is a multifaceted disease that involves three distinct pathogenic hepatic disease processes: steatosis, inflammation and fibrosis. Our pipeline of programs is intended to address each of these distinct pathogenic disease processes. We believe that with our pipeline targeting steatosis (TERN-101 and TERN-501), inflammation (TERN-101 and TERN-201) and fibrosis (TERN-101 and TERN-201) in tandem, our programs have the potential to provide greater resolution of NASH and improvements in related clinical outcomes. Furthermore, by developing combination therapies to treat NASH, we are aiming to expand the reach of NASH therapeutics through improved response rates, better tolerability and improved compliance as compared to monotherapy regimens. </w:t>
      </w:r>
    </w:p>
    <w:p>
      <w:pPr>
        <w:pStyle w:val="TextBody"/>
        <w:spacing w:before="240" w:after="0"/>
        <w:jc w:val="center"/>
        <w:rPr>
          <w:rFonts w:ascii="Times New Roman" w:hAnsi="Times New Roman"/>
          <w:b w:val="false"/>
          <w:i w:val="false"/>
          <w:caps w:val="false"/>
          <w:smallCaps w:val="false"/>
          <w:sz w:val="20"/>
        </w:rPr>
      </w:pPr>
      <w:bookmarkStart w:id="6" w:name="_AEIOULastRenderedPageBreakAEIOU4"/>
      <w:bookmarkEnd w:id="6"/>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Our NASH Pipeline Programs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wholly owned NASH pipeline includes multiple single-agent and combination therapy candidates that provide several opportunities to address the multifaceted nature of NASH and drive meaningful clinical benefits for patients. We intend to advance single-agent and combination therapy candidates to increase the potential for improved response rates in NASH patients, for whom there are no approved treatment options. </w:t>
      </w:r>
    </w:p>
    <w:p>
      <w:pPr>
        <w:pStyle w:val="TextBody"/>
        <w:spacing w:before="120" w:after="0"/>
        <w:jc w:val="both"/>
        <w:rPr/>
      </w:pPr>
      <w:r>
        <w:rPr/>
        <w:t> </w:t>
      </w:r>
    </w:p>
    <w:p>
      <w:pPr>
        <w:pStyle w:val="TextBody"/>
        <w:spacing w:before="120" w:after="0"/>
        <w:jc w:val="center"/>
        <w:rPr>
          <w:caps w:val="false"/>
          <w:smallCaps w:val="false"/>
        </w:rPr>
      </w:pPr>
      <w:r>
        <w:rPr>
          <w:caps w:val="false"/>
          <w:smallCaps w:val="false"/>
        </w:rPr>
        <w:drawing>
          <wp:inline distT="0" distB="0" distL="0" distR="0">
            <wp:extent cx="5943600" cy="2495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495550"/>
                    </a:xfrm>
                    <a:prstGeom prst="rect">
                      <a:avLst/>
                    </a:prstGeom>
                  </pic:spPr>
                </pic:pic>
              </a:graphicData>
            </a:graphic>
          </wp:inline>
        </w:drawing>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rPr>
            </w:pPr>
            <w:r>
              <w:rPr>
                <w:b/>
                <w:i w:val="false"/>
                <w:caps w:val="false"/>
                <w:smallCaps w:val="false"/>
                <w:color w:val="000000"/>
                <w:sz w:val="20"/>
              </w:rPr>
              <w:t>TERN-101</w:t>
            </w:r>
            <w:r>
              <w:rPr>
                <w:b w:val="false"/>
                <w:i w:val="false"/>
                <w:caps w:val="false"/>
                <w:smallCaps w:val="false"/>
                <w:color w:val="000000"/>
              </w:rPr>
              <w:t xml:space="preserve"> </w:t>
            </w:r>
            <w:r>
              <w:rPr>
                <w:b w:val="false"/>
                <w:i w:val="false"/>
                <w:caps w:val="false"/>
                <w:smallCaps w:val="false"/>
                <w:color w:val="000000"/>
                <w:sz w:val="20"/>
              </w:rPr>
              <w:t xml:space="preserve">is a liver-distributed, non-bile acid Farnesoid X Receptor, or FXR, agonist that has demonstrated a differentiated tolerability profile and improved target engagement due to its sustained FXR activation in the liver but only transient FXR activation in the intestine. FXR is a nuclear receptor primarily expressed in the liver, intestine and kidneys. FXR regulates hepatic expression of various genes involved in lipid metabolism, inflammation and fibrosis. Clinical trials of other FXR agonists have demonstrated significant histological NASH improvements but have also resulted in pruritus and adverse lipid changes. These safety and tolerability issues have been observed in Phase 1 clinical trials for other FXR agonists and have generally been regarded as dose-limiting toxicities, which are suboptimal for patients and can lead to treatment discontinuation. However, in all four Phase 1 clinical trials of TERN-101, none of the 119 subjects who received TERN-101 reported pruritus, and the serum lipid profiles among TERN-101 recipients were similar to placebo recipients at all doses. We are currently evaluating TERN-101 in a 12-week, randomized, placebo-controlled Phase 2a clinical trial in approximately 100 NASH patients (the LIFT Study). In January 2021, we completed the enrollment of patients into the LIFT Study and top-line data is expected in July 2021. We received Fast Track designation from the U.S. Food and Drug Administration, or the FDA, for TERN-101 for the treatment of NASH in October 2019. Fast Track designation does not guarantee an accelerated review by the FDA.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i w:val="false"/>
                <w:caps w:val="false"/>
                <w:smallCaps w:val="false"/>
                <w:color w:val="000000"/>
                <w:sz w:val="20"/>
              </w:rPr>
              <w:t>TERN-201</w:t>
            </w:r>
            <w:r>
              <w:rPr>
                <w:b w:val="false"/>
                <w:i w:val="false"/>
                <w:caps w:val="false"/>
                <w:smallCaps w:val="false"/>
                <w:color w:val="000000"/>
              </w:rPr>
              <w:t xml:space="preserve"> </w:t>
            </w:r>
            <w:r>
              <w:rPr>
                <w:b w:val="false"/>
                <w:i w:val="false"/>
                <w:caps w:val="false"/>
                <w:smallCaps w:val="false"/>
                <w:color w:val="000000"/>
                <w:sz w:val="20"/>
              </w:rPr>
              <w:t xml:space="preserve">is a highly-selective inhibitor of Vascular Adhesion Protein-1, or VAP-1, that has demonstrated sustained target engagement in clinical trials without the off-target liabilities associated with other VAP-1 inhibitors in development. VAP-1 facilitates the deceleration, binding, and transmigration of leukocytes from the bloodstream into the liver and produces reactive oxygen species that promote liver inflammation and fibrosis. VAP-1 has been shown to be over-expressed in the livers of NASH patients in response to local lipotoxicity and liver injury. In a Phase 2a clinical trial of another developer’s VAP-1 inhibitor in NASH patients, 12 weeks of administration demonstrated significant, dose-dependent improvements in NASH biomarkers, providing clinical proof of concept for VAP-1 inhibition in NASH. In our Phase 1a first-in-human (SAD/MAD) clinical trial in 61 healthy subjects, TERN-201 was shown to fully suppress plasma VAP-1 activity at all of the doses we evaluated. TERN-201 was selected for development over other discovery candidates because it is highly specific for VAP-1 inhibition and has minimal potential for off-target effects. We intend to start our Phase 1b clinical trial of TERN-201 in NASH patients in the first half of 2021 and expect top-line data in the first half of 2022. We received Fast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Track designation from the FDA for TERN-201 for the treatment of NASH in August 2020. Fast Track designation does not guarantee an accelerated review by the FDA.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i w:val="false"/>
                <w:caps w:val="false"/>
                <w:smallCaps w:val="false"/>
                <w:color w:val="000000"/>
                <w:sz w:val="20"/>
              </w:rPr>
              <w:t>TERN-501</w:t>
            </w:r>
            <w:r>
              <w:rPr>
                <w:b w:val="false"/>
                <w:i w:val="false"/>
                <w:caps w:val="false"/>
                <w:smallCaps w:val="false"/>
                <w:color w:val="000000"/>
              </w:rPr>
              <w:t xml:space="preserve"> </w:t>
            </w:r>
            <w:r>
              <w:rPr>
                <w:b w:val="false"/>
                <w:i w:val="false"/>
                <w:caps w:val="false"/>
                <w:smallCaps w:val="false"/>
                <w:color w:val="000000"/>
                <w:sz w:val="20"/>
              </w:rPr>
              <w:t xml:space="preserve">is a Thyroid Hormone Receptor beta, or THR-β, agonist with high metabolic stability, enhanced liver distribution and greater selectivity for THR-β compared to other THR-β agonists in development. Agonism of THR-β increases fatty acid metabolism via mitochondrial oxidation and affects cholesterol synthesis and metabolism. As a result, THR-β stimulation has the ability to reduce hepatic steatosis and improve serum lipid parameters including LDL cholesterol and triglycerides. </w:t>
            </w:r>
            <w:r>
              <w:rPr>
                <w:b w:val="false"/>
                <w:i/>
                <w:caps w:val="false"/>
                <w:smallCaps w:val="false"/>
                <w:color w:val="000000"/>
                <w:sz w:val="20"/>
              </w:rPr>
              <w:t xml:space="preserve">In vivo </w:t>
            </w:r>
            <w:r>
              <w:rPr>
                <w:b w:val="false"/>
                <w:i w:val="false"/>
                <w:caps w:val="false"/>
                <w:smallCaps w:val="false"/>
                <w:color w:val="000000"/>
                <w:sz w:val="20"/>
              </w:rPr>
              <w:t xml:space="preserve">NASH studies in a rodent model have demonstrated that low-doses of TERN-501 achieved complete resolution of steatosis and reductions in serum lipids, hepatic inflammation and fibrosis. TERN-501 has high liver distribution and is 23-fold more selective for THR-β than for THR-α activation, thereby minimizing the risk of cardiotoxicity and other off-target effects associated with non-selective THR stimulation. Finally, TERN-501 has been designed to be metabolically stable and is therefore expected to have little pharmacokinetic variability and a low clinical dose, making it an attractive candidate for use in fixed-dose combinations for NASH treatment. In January 2021, the FDA cleared our IND for TERN-501. In March 2021, we announced the initiation of our Phase 1 first-in-human clinical trial of TERN-501 and we expect top-line data in the second half of 2021.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i w:val="false"/>
                <w:caps w:val="false"/>
                <w:smallCaps w:val="false"/>
                <w:color w:val="000000"/>
                <w:sz w:val="20"/>
              </w:rPr>
              <w:t>GLP-1R</w:t>
            </w:r>
            <w:r>
              <w:rPr>
                <w:b w:val="false"/>
                <w:i w:val="false"/>
                <w:caps w:val="false"/>
                <w:smallCaps w:val="false"/>
                <w:color w:val="000000"/>
              </w:rPr>
              <w:t xml:space="preserve"> </w:t>
            </w:r>
            <w:r>
              <w:rPr>
                <w:b w:val="false"/>
                <w:i w:val="false"/>
                <w:caps w:val="false"/>
                <w:smallCaps w:val="false"/>
                <w:color w:val="000000"/>
                <w:sz w:val="20"/>
              </w:rPr>
              <w:t xml:space="preserve">is our small-molecule Glucagon-Like Peptide-1 Receptor agonist program that is intended to address metabolic processes involved in the pathogenesis of NASH. Our GLP-1R program has identified several potentially suitable small-molecule scaffolds. We plan to further optimize these series of compounds and identify structures that are suitable for orally administered combination with other NASH drug candidates within our pipeline. We are currently advancing this program through lead optimization and anticipate announcing a development candidate in the second half of 2021. </w:t>
            </w:r>
          </w:p>
        </w:tc>
      </w:tr>
    </w:tbl>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Combinations: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Several prior clinical trials evaluating single-agent therapies for NASH have shown only moderate histological improvements and exhibited tolerability issues with some of these agents at high doses. We believe that developing combination therapies targeting multiple mechanistic pathways will drive improved response rates for NASH patients while mitigating potential tolerability concerns and improving compliance as compared with monotherapy regimens. We are well-positioned to develop multiple combination therapies for NASH with our extensive experience in combination drug development and the ability to leverage our pipeline of wholly owned single-agents that we believe are suitable for orally administered combination development.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that therapies targeting steatosis (TERN-101 and TERN-501), inflammation (TERN-101 and TERN-201) and fibrosis (TERN-101 and TERN-201) in tandem, have the potential to provide greater resolution of NASH and improvement in related clinical outcomes. We expect to initiate a Phase 2a clinical proof-of-concept trial evaluating a combination of TERN-101 and TERN-501 in NASH patients in the first half of 2022. We are also assessing the potential utility of combinations of TERN-201 with assets inside and outside of our pipeline. Given the strength of our internal resources and capabilities, we have the flexibility to independently advance our combination therapies without the need for a co-development partner at this time.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Our History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Terns was founded in 2017 with the goal of developing innovative therapies for patients with NASH and other liver diseases. We have assembled a team of industry veterans with extensive experience in drug discovery and development, especially in liver diseases. Collectively, our team is responsible for more than 20 FDA approved products, including eleven fixed-dose-combination drugs. Our executive team has a strong track record in leading successful biotechnology companies and research and development organizations. Senthil Sundaram, our Chief Executive Officer, has over 20 years of strategy, financial and leadership experience in the life sciences industry. Dr. Erin Quirk, our President and Chief Medical Officer, brings more than 15 years of experience in the pharmaceutical industry, and has personally contributed to the development of 14 approved drug products to date, including initial marketing applications for five novel fixed-dose combinations. Dr. Weidong Zhong, our founder and Chief Scientific Officer, is an accomplished industry veteran who brings 25 years of experience in drug discovery and development and has developed over 20 small-molecule and biologic drug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Our Strategy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goal is to develop and commercialize differentiated monotherapies and combination therapies for patients with NASH and other chronic liver diseases. Key elements of our strategy to achieve this goal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i w:val="false"/>
                <w:caps w:val="false"/>
                <w:smallCaps w:val="false"/>
                <w:color w:val="000000"/>
                <w:sz w:val="20"/>
              </w:rPr>
              <w:t>Develop improved drug candidates targeting clinically-validated mechanisms of action.</w:t>
            </w:r>
            <w:r>
              <w:rPr>
                <w:b w:val="false"/>
                <w:i w:val="false"/>
                <w:caps w:val="false"/>
                <w:smallCaps w:val="false"/>
                <w:color w:val="000000"/>
              </w:rPr>
              <w:t xml:space="preserve"> </w:t>
            </w:r>
            <w:r>
              <w:rPr>
                <w:b w:val="false"/>
                <w:i w:val="false"/>
                <w:caps w:val="false"/>
                <w:smallCaps w:val="false"/>
                <w:color w:val="000000"/>
                <w:sz w:val="20"/>
              </w:rPr>
              <w:t xml:space="preserve">We are developing a portfolio of small molecule drug candidates targeting clinically-validated mechanisms of action for the treatment of NASH. The mechanisms of action targeted by our current drug candidates are the same mechanisms of action targeted by other drug candidates that have achieved clinical proof-of-concept in NASH clinical trials and have demonstrated significant improvements on histological and non-invasive markers of the disease, though no drug has been approved for the treatment of NASH in the United States or Europe. However, these clinical trials have also highlighted an opportunity for us to meaningfully improve the efficacy, safety and tolerability of therapies utilizing these mechanisms. Based on this premise, we are advancing multiple drug candidates we believe have the potential to deliver better clinical outcomes in a high proportion of NASH patients as either single-agent or combination therapies.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i w:val="false"/>
                <w:caps w:val="false"/>
                <w:smallCaps w:val="false"/>
                <w:color w:val="000000"/>
                <w:sz w:val="20"/>
              </w:rPr>
              <w:t xml:space="preserve">Leverage non-invasive biomarkers to rapidly advance our single-agent drug candidates through clinical proof-of-concept. </w:t>
            </w:r>
            <w:r>
              <w:rPr>
                <w:b w:val="false"/>
                <w:i w:val="false"/>
                <w:caps w:val="false"/>
                <w:smallCaps w:val="false"/>
                <w:color w:val="000000"/>
                <w:sz w:val="20"/>
              </w:rPr>
              <w:t xml:space="preserve">We are advancing our single-agent drug candidates through clinical proof-of-concept trials on an expedited basis by using relevant non-invasive biomarkers in our Phase 1 and Phase 2 clinical trials to efficiently confirm and benchmark target engagement or efficacy without the need for liver biopsies. We believe this approach enables us to accelerate enrollment in our clinical trials and achieve significantly shorter development timelines.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i w:val="false"/>
                <w:caps w:val="false"/>
                <w:smallCaps w:val="false"/>
                <w:color w:val="000000"/>
                <w:sz w:val="20"/>
              </w:rPr>
              <w:t xml:space="preserve">Advance our portfolio of combination therapy candidates for the treatment of NASH. </w:t>
            </w:r>
            <w:r>
              <w:rPr>
                <w:b w:val="false"/>
                <w:i w:val="false"/>
                <w:caps w:val="false"/>
                <w:smallCaps w:val="false"/>
                <w:color w:val="000000"/>
                <w:sz w:val="20"/>
              </w:rPr>
              <w:t>In addition to developing our single-agent drug candidates,</w:t>
            </w:r>
            <w:r>
              <w:rPr>
                <w:b w:val="false"/>
                <w:i w:val="false"/>
                <w:caps w:val="false"/>
                <w:smallCaps w:val="false"/>
                <w:color w:val="000000"/>
              </w:rPr>
              <w:t xml:space="preserve"> </w:t>
            </w:r>
            <w:r>
              <w:rPr>
                <w:b w:val="false"/>
                <w:i w:val="false"/>
                <w:caps w:val="false"/>
                <w:smallCaps w:val="false"/>
                <w:color w:val="000000"/>
                <w:sz w:val="20"/>
              </w:rPr>
              <w:t xml:space="preserve">we are evaluating and developing fixed-dose combination therapies to address the multiple disease processes of NASH. We believe developing combination therapies targeting multiple mechanistic pathways will drive improved response rates for NASH patients while mitigating potential tolerability concerns and improving compliance as compared with monotherapy regimens. The outcomes of our monotherapy biomarker-based clinical trials will further inform our decision to pursue the utility of our drug candidates as monotherapies or in fixed-dose-combinations that we believe have synergistic therapeutic effect and well-balanced safety profiles. We have identified and are advancing our first combination therapy candidate for NASH, involving a combination of TERN-101 and TERN-501, and expect to initiate a Phase 2a clinical proof-of-concept trial in the first half of 2022. We are also evaluating the potential to co-administer TERN-201, a potent anti-inflammatory and anti-fibrotic agent, in combination with a metabolically active NASH treatment.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i w:val="false"/>
                <w:caps w:val="false"/>
                <w:smallCaps w:val="false"/>
                <w:color w:val="000000"/>
                <w:sz w:val="20"/>
              </w:rPr>
              <w:t xml:space="preserve">Advance our earlier stage program and expand applications for our existing drug candidates. </w:t>
            </w:r>
            <w:r>
              <w:rPr>
                <w:b w:val="false"/>
                <w:i w:val="false"/>
                <w:caps w:val="false"/>
                <w:smallCaps w:val="false"/>
                <w:color w:val="000000"/>
                <w:sz w:val="20"/>
              </w:rPr>
              <w:t xml:space="preserve">We have identified a series of GLP-1R small molecule agonists with the potential to address metabolic processes involved in the pathogenesis of NASH. Our GLP-1R program is designed to enable oral administration, a limitation of existing GLP-1 agonists, for widespread use in NASH patients. We are currently advancing this program through lead optimization and anticipate announcing a development candidate in the second half of 2021. Beyond NASH, our goal is to maximize the commercial potential of our existing drug candidates by exploring additional indications supported by their underlying biology and mechanism. For example, we believe our NASH drug candidates may also have utility in other chronic liver diseases such as autoimmune hepatitis, primary biliary cholangitis and primary sclerosing cholangitis. We will maintain a focused and disciplined strategy in evaluating potential follow-on indications that may merit further advancement.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i w:val="false"/>
                <w:caps w:val="false"/>
                <w:smallCaps w:val="false"/>
                <w:color w:val="000000"/>
                <w:sz w:val="20"/>
              </w:rPr>
              <w:t xml:space="preserve">Independently develop and commercialize our drug candidates in indications and geographies where we believe we can maximize the value and benefit to patients. </w:t>
            </w:r>
            <w:r>
              <w:rPr>
                <w:b w:val="false"/>
                <w:i w:val="false"/>
                <w:caps w:val="false"/>
                <w:smallCaps w:val="false"/>
                <w:color w:val="000000"/>
                <w:sz w:val="20"/>
              </w:rPr>
              <w:t xml:space="preserve">We have a disciplined strategy to maximize the value of our pipeline by retaining development and commercialization rights to those drug candidates, indications and geographies that we believe we can ultimately commercialize successfully on our own if they are approved. We plan to collaborate on drug candidates that we believe have promising utility in disease areas, patient populations or geographies that are better served by the resources or specific expertise of other biopharmaceutical companies.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Background on NASH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NASH is a severe form of NAFLD, a common liver disease characterized by the accumulation of excess fat in the liver (steatosis). When hepatic steatosis results in liver inflammation and, in many cases, fibrosis, it results in NASH, a multifaceted disease that involves three distinct pathogenic hepatic disease processes: steatosis, inflammation and fibrosis. Severe progression of NASH leads to cirrhosis and decompensated liver disease, with the associated risks for hepatocellular carcinoma and liver-related death. NASH was recently identified as the second leading etiologic indication for liver transplantation in the United States, and it is projected to become the leading cause of liver transplantation in the coming years.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NAFLD is the most common cause of chronic liver disease in the United States, affecting 80 to 100 million individuals. Among persons with NAFLD, approximately 20% will progress to NASH, which is currently estimated to affect 15 million adults in the United States. Progression of liver fibrosis ultimately leads to cirrhosis in an estimated 20% of patients with NASH. With an aging population and the markedly increasing rates of obesity, diabetes, and dyslipidemia/metabolic syndrome worldwide, NAFLD and NASH have increased greatly in prevalence, posing a significant healthcare challenge. In a study published in </w:t>
      </w:r>
      <w:r>
        <w:rPr>
          <w:rFonts w:ascii="Times New Roman" w:hAnsi="Times New Roman"/>
          <w:b w:val="false"/>
          <w:i/>
          <w:caps w:val="false"/>
          <w:smallCaps w:val="false"/>
          <w:sz w:val="20"/>
        </w:rPr>
        <w:t>Hepatology</w:t>
      </w:r>
      <w:r>
        <w:rPr>
          <w:rFonts w:ascii="Times New Roman" w:hAnsi="Times New Roman"/>
          <w:b w:val="false"/>
          <w:i w:val="false"/>
          <w:caps w:val="false"/>
          <w:smallCaps w:val="false"/>
          <w:sz w:val="20"/>
        </w:rPr>
        <w:t xml:space="preserve"> in 2016, direct healthcare costs associated with NAFLD and NASH in the United States in 2016 were estimated to be approximately $100 billion, in the absence of approved therapies.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Etiology of NASH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NAFLD and NASH are classified as progressive metabolic diseases, often correlated with chronic excess caloric intake, obesity and metabolic syndrome. Physiologically, hepatocytes in the liver can act as a repository for excess energy stored by the body. As humans consume disproportionate amounts of calories relative to those burned on a consistent basis, the body becomes overweight, and organs, including the liver, become burdened by fatty tissue. With the liver acting as the hub for excess energy and energy conversion, an imbalance develops with more delivery of fats and triglycerides to the liver, an increase in hepatic fatty acid synthesis, and impaired hepatic fatty acid oxidation and removal of liver fat, resulting in NAFLD.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Within the steatotic liver, fat deposits can create lipotoxic effects to the surrounding liver tissue, resulting in hepatocyte stress and injury and activating inflammatory Kupffer cells. Local increases in reactive oxygenation species can induce hepatocytes to undergo cell death and create an inflammatory response within the organ. VAP-1 is over expressed in affected areas of the liver, serving as an attachment point for inflammatory leukocytes and triggering their recruitment from the bloodstream into the liver. These leukocytes are stimulated by local lipotoxic effects and the presence of reactive oxygenation species to produce cytokines, further exacerbating local inflammatory cascades and activating resident Kupffer cells, thereby exacerbating local inflammation.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Inflammatory cascades in the liver activate hepatic stellate cells to excrete extracellular matrix resulting in liver fibrosis. Over time, fibrosis progresses, increasingly replacing diseased and normal liver tissue with scar tissue. Eventually, most of the liver is replaced by fibrotic tissue, which histologically is categorized as cirrhosis. While some cirrhotic patients have enough functional liver tissue to maintain hepatic activity, over time, the liver fails, resulting in decompensated liver disease and the need for liver transplantation to avoid liver related death. Furthermore, cirrhosis is a key risk factor for hepatocellular carcinoma.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NASH is currently diagnosed by histological findings on liver biopsy. In clinical trials, recommended scoring systems assess (i) liver fibrosis and (ii) steatosis and inflammation using the NAFLD Activity Score, or NAS, a composite score that grades the degree of three non-fibrotic histologic features of NASH: steatosis, hepatocyte ballooning, and lobular inflammation. Efficacious responses to treatment in NASH clinical trials are usually considered to be either an improvement in fibrosis score without worsening of the NAS, or an improvement of the NAS without worsening of fibrosis.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Increasingly, non-invasive blood and imaging tests are being used in clinical practice to diagnose NASH. Vibration controlled transient elastography combined with blood tests (serum chemistries, hematological parameters and other biomarkers) have shown good accuracy in diagnosing both steatosis and the degree of liver inflammation. As data from these non-invasive assessments continue to accumulate—for initial diagnosis of NASH, monitoring of disease progression over time, and monitoring response to treatment—these approaches may replace liver biopsy, both in clinical practice and clinical trials. In its December 2018 draft NASH guidance, the FDA encouraged sponsors to include non-invasive biomarkers in clinical studies of experimental NASH treatments in order to accelerate development and supplant liver biopsy.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Treatment of NASH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currently are no FDA-approved therapies for the treatment of NASH, and available treatment options are limited to control of metabolic dysfunction, including weight loss, as well as lifestyle modifications such as exercise and dietary changes. However, many patients are unable to achieve or maintain significant weight loss or comply long-term with the dietary and lifestyle changes required to reverse NASH. In order to optimally treat NASH and reduce the risk of liver cancer and liver-related mortality, the three distinct disease processes may each need to be addressed–steatosis, inflammation and fibrosis. Single agents focusing on specific mechanisms contributing to one of these three processes, each involving multiple pathways, have demonstrated only modest results to date.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some of the treatment approaches for NASH currently in clinical development, together with limitations observed and Terns’ differentiated approach. Among the small-molecule programs with validated mechanisms, we believe FXR agonism, VAP-1 inhibition and THR-β agonism have great potential, not only as targets for single-agent therapy, but also as key components in combination therapies. </w:t>
      </w:r>
    </w:p>
    <w:p>
      <w:pPr>
        <w:pStyle w:val="TextBody"/>
        <w:spacing w:before="0" w:after="0"/>
        <w:jc w:val="both"/>
        <w:rPr/>
      </w:pPr>
      <w:r>
        <w:rPr/>
        <w:t> </w:t>
      </w:r>
    </w:p>
    <w:tbl>
      <w:tblPr>
        <w:tblW w:w="10205" w:type="dxa"/>
        <w:jc w:val="center"/>
        <w:tblInd w:w="0" w:type="dxa"/>
        <w:tblCellMar>
          <w:top w:w="0" w:type="dxa"/>
          <w:left w:w="0" w:type="dxa"/>
          <w:bottom w:w="0" w:type="dxa"/>
          <w:right w:w="0" w:type="dxa"/>
        </w:tblCellMar>
      </w:tblPr>
      <w:tblGrid>
        <w:gridCol w:w="1109"/>
        <w:gridCol w:w="3252"/>
        <w:gridCol w:w="2723"/>
        <w:gridCol w:w="3121"/>
      </w:tblGrid>
      <w:tr>
        <w:trPr/>
        <w:tc>
          <w:tcPr>
            <w:tcW w:w="1109" w:type="dxa"/>
            <w:tcBorders/>
            <w:shd w:fill="auto" w:val="clear"/>
            <w:vAlign w:val="center"/>
          </w:tcPr>
          <w:p>
            <w:pPr>
              <w:pStyle w:val="TableContents"/>
              <w:spacing w:before="0" w:after="283"/>
              <w:rPr>
                <w:sz w:val="4"/>
                <w:szCs w:val="4"/>
              </w:rPr>
            </w:pPr>
            <w:r>
              <w:rPr>
                <w:sz w:val="4"/>
                <w:szCs w:val="4"/>
              </w:rPr>
            </w:r>
          </w:p>
        </w:tc>
        <w:tc>
          <w:tcPr>
            <w:tcW w:w="3252" w:type="dxa"/>
            <w:tcBorders/>
            <w:shd w:fill="auto" w:val="clear"/>
            <w:vAlign w:val="center"/>
          </w:tcPr>
          <w:p>
            <w:pPr>
              <w:pStyle w:val="TableContents"/>
              <w:spacing w:before="0" w:after="283"/>
              <w:rPr>
                <w:sz w:val="4"/>
                <w:szCs w:val="4"/>
              </w:rPr>
            </w:pPr>
            <w:r>
              <w:rPr>
                <w:sz w:val="4"/>
                <w:szCs w:val="4"/>
              </w:rPr>
            </w:r>
          </w:p>
        </w:tc>
        <w:tc>
          <w:tcPr>
            <w:tcW w:w="2723"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r>
      <w:tr>
        <w:trPr/>
        <w:tc>
          <w:tcPr>
            <w:tcW w:w="1109" w:type="dxa"/>
            <w:tcBorders/>
            <w:shd w:fill="auto" w:val="clear"/>
            <w:vAlign w:val="center"/>
          </w:tcPr>
          <w:p>
            <w:pPr>
              <w:pStyle w:val="TableContents"/>
              <w:spacing w:before="0" w:after="0"/>
              <w:ind w:left="0" w:right="0" w:hanging="0"/>
              <w:rPr/>
            </w:pPr>
            <w:r>
              <w:rPr/>
              <w:t> </w:t>
            </w:r>
          </w:p>
        </w:tc>
        <w:tc>
          <w:tcPr>
            <w:tcW w:w="3252" w:type="dxa"/>
            <w:tcBorders/>
            <w:shd w:fill="auto" w:val="clear"/>
            <w:vAlign w:val="center"/>
          </w:tcPr>
          <w:p>
            <w:pPr>
              <w:pStyle w:val="TableContents"/>
              <w:spacing w:before="0" w:after="0"/>
              <w:ind w:left="0" w:right="0" w:hanging="0"/>
              <w:rPr/>
            </w:pPr>
            <w:r>
              <w:rPr/>
              <w:t> </w:t>
            </w:r>
          </w:p>
        </w:tc>
        <w:tc>
          <w:tcPr>
            <w:tcW w:w="2723" w:type="dxa"/>
            <w:tcBorders/>
            <w:shd w:fill="auto" w:val="clear"/>
            <w:vAlign w:val="center"/>
          </w:tcPr>
          <w:p>
            <w:pPr>
              <w:pStyle w:val="TableContents"/>
              <w:spacing w:before="0" w:after="0"/>
              <w:ind w:left="0" w:right="0" w:hanging="0"/>
              <w:rPr/>
            </w:pPr>
            <w:r>
              <w:rPr/>
              <w:t> </w:t>
            </w:r>
          </w:p>
        </w:tc>
        <w:tc>
          <w:tcPr>
            <w:tcW w:w="3121" w:type="dxa"/>
            <w:tcBorders/>
            <w:shd w:fill="auto" w:val="clear"/>
            <w:vAlign w:val="center"/>
          </w:tcPr>
          <w:p>
            <w:pPr>
              <w:pStyle w:val="TableContents"/>
              <w:spacing w:before="0" w:after="0"/>
              <w:ind w:left="0" w:right="0" w:hanging="0"/>
              <w:rPr/>
            </w:pPr>
            <w:r>
              <w:rPr/>
              <w:t> </w:t>
            </w:r>
          </w:p>
        </w:tc>
      </w:tr>
      <w:tr>
        <w:trPr/>
        <w:tc>
          <w:tcPr>
            <w:tcW w:w="1109"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Treatment</w:t>
              <w:br/>
              <w:t>Approaches in</w:t>
              <w:br/>
              <w:t>NASH</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tc>
        <w:tc>
          <w:tcPr>
            <w:tcW w:w="3252" w:type="dxa"/>
            <w:tcBorders/>
            <w:shd w:fill="auto" w:val="clear"/>
            <w:vAlign w:val="bottom"/>
          </w:tcPr>
          <w:p>
            <w:pPr>
              <w:pStyle w:val="TableContents"/>
              <w:spacing w:lineRule="auto" w:line="288"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Clinical Trial Findings</w:t>
            </w:r>
            <w:r>
              <w:rPr>
                <w:rFonts w:ascii="Times New Roman" w:hAnsi="Times New Roman"/>
                <w:b/>
                <w:i w:val="false"/>
                <w:caps w:val="false"/>
                <w:smallCaps w:val="false"/>
                <w:sz w:val="14"/>
              </w:rPr>
              <w:t>(1)</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tc>
        <w:tc>
          <w:tcPr>
            <w:tcW w:w="2723" w:type="dxa"/>
            <w:tcBorders/>
            <w:shd w:fill="auto" w:val="clear"/>
            <w:vAlign w:val="bottom"/>
          </w:tcPr>
          <w:p>
            <w:pPr>
              <w:pStyle w:val="TableContents"/>
              <w:spacing w:lineRule="auto" w:line="288"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Observed Limitations</w:t>
            </w:r>
            <w:r>
              <w:rPr>
                <w:rFonts w:ascii="Times New Roman" w:hAnsi="Times New Roman"/>
                <w:b/>
                <w:i w:val="false"/>
                <w:caps w:val="false"/>
                <w:smallCaps w:val="false"/>
                <w:sz w:val="14"/>
              </w:rPr>
              <w:t>(1)</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tc>
        <w:tc>
          <w:tcPr>
            <w:tcW w:w="3121"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TERNS Differentiation</w:t>
            </w:r>
          </w:p>
          <w:p>
            <w:pPr>
              <w:pStyle w:val="TableContents"/>
              <w:pBdr>
                <w:top w:val="single" w:sz="8" w:space="1" w:color="000000"/>
              </w:pBdr>
              <w:spacing w:lineRule="atLeast" w:line="141" w:before="0" w:after="0"/>
              <w:ind w:left="0" w:right="0" w:hanging="0"/>
              <w:jc w:val="center"/>
              <w:rPr>
                <w:caps w:val="false"/>
                <w:smallCaps w:val="false"/>
              </w:rPr>
            </w:pPr>
            <w:r>
              <w:rPr>
                <w:caps w:val="false"/>
                <w:smallCaps w:val="false"/>
              </w:rPr>
              <w:t> </w:t>
            </w:r>
          </w:p>
        </w:tc>
      </w:tr>
      <w:tr>
        <w:trPr/>
        <w:tc>
          <w:tcPr>
            <w:tcW w:w="1109"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52"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723"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121"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109"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FXR agonists</w:t>
            </w:r>
          </w:p>
        </w:tc>
        <w:tc>
          <w:tcPr>
            <w:tcW w:w="3252"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Improvements in liver fibrosis and markers of liver function.</w:t>
            </w:r>
          </w:p>
        </w:tc>
        <w:tc>
          <w:tcPr>
            <w:tcW w:w="2723"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Pruritus and adverse lipid effects</w:t>
            </w:r>
          </w:p>
        </w:tc>
        <w:tc>
          <w:tcPr>
            <w:tcW w:w="3121"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TERN-101: high liver distribution, minimizing potential for pruritus and adverse lipid changes</w:t>
            </w:r>
          </w:p>
        </w:tc>
      </w:tr>
      <w:tr>
        <w:trPr/>
        <w:tc>
          <w:tcPr>
            <w:tcW w:w="1109"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52"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c>
          <w:tcPr>
            <w:tcW w:w="2723"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121"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r>
      <w:tr>
        <w:trPr/>
        <w:tc>
          <w:tcPr>
            <w:tcW w:w="1109"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VAP-1 inhibitors</w:t>
            </w:r>
          </w:p>
        </w:tc>
        <w:tc>
          <w:tcPr>
            <w:tcW w:w="3252"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Clinical PoC in NASH with significant dose dependent improvements in key markers of liver injury, inflammation and cell death</w:t>
            </w:r>
          </w:p>
        </w:tc>
        <w:tc>
          <w:tcPr>
            <w:tcW w:w="2723"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Off-target mono-amine oxidase, or MAO, inhibition can result in significant drug-drug interactions </w:t>
            </w:r>
          </w:p>
        </w:tc>
        <w:tc>
          <w:tcPr>
            <w:tcW w:w="3121"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TERN-201: highly specific for VAP-1 inhibition; minimal potential to inhibit MAO-A or MAO-B</w:t>
            </w:r>
          </w:p>
        </w:tc>
      </w:tr>
      <w:tr>
        <w:trPr/>
        <w:tc>
          <w:tcPr>
            <w:tcW w:w="1109"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52"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c>
          <w:tcPr>
            <w:tcW w:w="2723"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121"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r>
      <w:tr>
        <w:trPr/>
        <w:tc>
          <w:tcPr>
            <w:tcW w:w="1109"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THR-β agonists</w:t>
            </w:r>
          </w:p>
        </w:tc>
        <w:tc>
          <w:tcPr>
            <w:tcW w:w="3252"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Significant reductions in liver fat and in lipid levels in serum </w:t>
            </w:r>
          </w:p>
        </w:tc>
        <w:tc>
          <w:tcPr>
            <w:tcW w:w="2723"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Low THR-β selectivity can cause cardiac and other safety issues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Variable PK and patient-specific dose adjustments</w:t>
            </w:r>
          </w:p>
        </w:tc>
        <w:tc>
          <w:tcPr>
            <w:tcW w:w="3121"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TERN-501: superior selectivity for THR-β over THR-α; enhanced metabolic stability </w:t>
            </w:r>
          </w:p>
        </w:tc>
      </w:tr>
      <w:tr>
        <w:trPr/>
        <w:tc>
          <w:tcPr>
            <w:tcW w:w="1109"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52"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c>
          <w:tcPr>
            <w:tcW w:w="2723"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121"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r>
      <w:tr>
        <w:trPr/>
        <w:tc>
          <w:tcPr>
            <w:tcW w:w="1109"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GLP-1 agonists</w:t>
            </w:r>
          </w:p>
        </w:tc>
        <w:tc>
          <w:tcPr>
            <w:tcW w:w="3252"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Activation of the GLP-1 pathway has shown to be effective in driving NASH resolution</w:t>
            </w:r>
          </w:p>
        </w:tc>
        <w:tc>
          <w:tcPr>
            <w:tcW w:w="2723"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Requires frequent injections which may limit potential for widespread use</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Tolerability concerns</w:t>
            </w:r>
          </w:p>
        </w:tc>
        <w:tc>
          <w:tcPr>
            <w:tcW w:w="3121"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Potential for once-daily oral administration and coformulation with other oral NASH therapies</w:t>
            </w:r>
          </w:p>
        </w:tc>
      </w:tr>
      <w:tr>
        <w:trPr/>
        <w:tc>
          <w:tcPr>
            <w:tcW w:w="1109"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52"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c>
          <w:tcPr>
            <w:tcW w:w="2723"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121"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r>
      <w:tr>
        <w:trPr/>
        <w:tc>
          <w:tcPr>
            <w:tcW w:w="1109"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FGF agonists</w:t>
            </w:r>
          </w:p>
        </w:tc>
        <w:tc>
          <w:tcPr>
            <w:tcW w:w="3252"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Histological NASH and fibrosis improvements in Phase 2</w:t>
            </w:r>
          </w:p>
        </w:tc>
        <w:tc>
          <w:tcPr>
            <w:tcW w:w="2723"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Requires frequent injections which may limit potential for widespread use</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Tolerability concerns</w:t>
            </w:r>
          </w:p>
        </w:tc>
        <w:tc>
          <w:tcPr>
            <w:tcW w:w="3121"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N/A</w:t>
            </w:r>
          </w:p>
        </w:tc>
      </w:tr>
      <w:tr>
        <w:trPr/>
        <w:tc>
          <w:tcPr>
            <w:tcW w:w="1109"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52"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c>
          <w:tcPr>
            <w:tcW w:w="2723"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121" w:type="dxa"/>
            <w:tcBorders/>
            <w:shd w:fill="auto" w:val="clear"/>
            <w:vAlign w:val="center"/>
          </w:tcPr>
          <w:p>
            <w:pPr>
              <w:pStyle w:val="TableContents"/>
              <w:spacing w:before="0" w:after="0"/>
              <w:ind w:left="144" w:right="0" w:hanging="0"/>
              <w:rPr>
                <w:caps w:val="false"/>
                <w:smallCaps w:val="false"/>
              </w:rPr>
            </w:pPr>
            <w:r>
              <w:rPr>
                <w:caps w:val="false"/>
                <w:smallCaps w:val="false"/>
              </w:rPr>
              <w:t> </w:t>
            </w:r>
          </w:p>
        </w:tc>
      </w:tr>
      <w:tr>
        <w:trPr/>
        <w:tc>
          <w:tcPr>
            <w:tcW w:w="1109"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 Novo</w:t>
              <w:br/>
              <w:t>Lipogenesis</w:t>
              <w:br/>
              <w:t>Inhibitors (ACC,</w:t>
              <w:br/>
              <w:t>FASN, DGAT2)</w:t>
            </w:r>
          </w:p>
        </w:tc>
        <w:tc>
          <w:tcPr>
            <w:tcW w:w="3252"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NASH biomarker improvement in Phase 2</w:t>
            </w:r>
          </w:p>
        </w:tc>
        <w:tc>
          <w:tcPr>
            <w:tcW w:w="2723" w:type="dxa"/>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Serum triglyceride elevations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Skin/hair toxicity</w:t>
            </w:r>
          </w:p>
        </w:tc>
        <w:tc>
          <w:tcPr>
            <w:tcW w:w="3121" w:type="dxa"/>
            <w:tcBorders>
              <w:bottom w:val="single" w:sz="6" w:space="0" w:color="000000"/>
            </w:tcBorders>
            <w:shd w:fill="auto" w:val="clear"/>
            <w:tcMar>
              <w:bottom w:w="28" w:type="dxa"/>
            </w:tcMar>
            <w:vAlign w:val="center"/>
          </w:tcPr>
          <w:p>
            <w:pPr>
              <w:pStyle w:val="TableContents"/>
              <w:spacing w:before="0" w:after="0"/>
              <w:ind w:left="144"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N/A</w:t>
            </w:r>
          </w:p>
        </w:tc>
      </w:tr>
    </w:tbl>
    <w:p>
      <w:pPr>
        <w:pStyle w:val="TextBody"/>
        <w:spacing w:before="0" w:after="0"/>
        <w:jc w:val="both"/>
        <w:rPr/>
      </w:pPr>
      <w:r>
        <w:rPr/>
        <w:t> </w:t>
      </w:r>
    </w:p>
    <w:tbl>
      <w:tblPr>
        <w:tblW w:w="7000" w:type="dxa"/>
        <w:jc w:val="left"/>
        <w:tblInd w:w="0" w:type="dxa"/>
        <w:tblCellMar>
          <w:top w:w="0" w:type="dxa"/>
          <w:left w:w="0" w:type="dxa"/>
          <w:bottom w:w="0" w:type="dxa"/>
          <w:right w:w="0" w:type="dxa"/>
        </w:tblCellMar>
      </w:tblPr>
      <w:tblGrid>
        <w:gridCol w:w="245"/>
        <w:gridCol w:w="6755"/>
      </w:tblGrid>
      <w:tr>
        <w:trPr/>
        <w:tc>
          <w:tcPr>
            <w:tcW w:w="245" w:type="dxa"/>
            <w:tcBorders/>
            <w:shd w:fill="auto" w:val="clear"/>
          </w:tcPr>
          <w:p>
            <w:pPr>
              <w:pStyle w:val="TableContents"/>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(1)</w:t>
            </w:r>
          </w:p>
        </w:tc>
        <w:tc>
          <w:tcPr>
            <w:tcW w:w="6755" w:type="dxa"/>
            <w:tcBorders/>
            <w:shd w:fill="auto" w:val="clear"/>
          </w:tcPr>
          <w:p>
            <w:pPr>
              <w:pStyle w:val="TableContents"/>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Represents clinical trial findings from clinical trials conducted by other sponsors. </w:t>
            </w:r>
          </w:p>
        </w:tc>
      </w:tr>
    </w:tbl>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Our Programs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developing a portfolio of small molecules that address the multiple hepatic disease processes of NASH in order to drive meaningful clinical benefits. Our most advanced program, TERN-101, is a liver-distributed, non-bile acid FXR agonist that has demonstrated sustained liver FXR activation, as well as a favorable tolerability profile across multiple Phase 1 clinical trials. Our Phase 2a clinical trial of TERN-101 in NASH was fully enrolled in January 2021 and we expect top-line data in July 2021. Our second clinical stage program, TERN-201, is a highly selective inhibitor of VAP-1, which directly addresses hepatic inflammation. We intend to start our Phase 1b clinical trial of TERN-201 in NASH patients in the first half of 2021 and expect top-line data in the first half of 2022. Our third clinical stage program is TERN-501, a THR-β agonist with high metabolic stability, enhanced liver distribution and greater selectivity for THR-β compared to other THR-β agonists in development. In January 2021, the FDA cleared our IND for TERN-501 and we announced the initiation of our Phase 1 first-in-human clinical trial of TERN-501 in March 2021. We expect top-line data from this clinical trial in the second half of 2021. We are also pursuing two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combination therapy programs to address the multiple disease processes of NASH and expect to initiate a Phase 2a clinical proof-of-concept trial evaluating a combination of TERN-101 and TERN-501 in the first half of 2022. We believe developing combination therapies targeting multiple mechanistic pathways will drive improved response rates across the population of NASH patients while mitigating potential tolerability concerns associated with other drugs in development.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TERN-101—a liver-distributed FXR agonist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Drug candidate summary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TERN-101 is a liver-distributed, non-bile acid FXR agonist that has demonstrated a differentiated tolerability profile and improved target engagement; likely due to its sustained FXR activation in the liver but only transient FXR activation in the intestine. FXR is a nuclear receptor primarily expressed in the liver, intestine and kidneys. FXR regulates hepatic expression of various genes involved in lipid metabolism, inflammation and fibrosis. Clinical studies of other FXR agonists have demonstrated significant histological NASH improvements but have also resulted in pruritus and adverse lipid changes. These tolerability issues have generally been observed in Phase 1 clinical trials of other FXR agonists in development and have been regarded as dose-limiting toxicities, which are suboptimal for patients and can lead to treatment discontinuation. However, in all four Phase 1 clinical trials of TERN-101, none of the 119 subjects who received TERN-101 reported pruritus, and the serum lipid profiles among TERN-101 recipients were similar to placebo recipients even at high doses. We are currently evaluating TERN-101 in a Phase 2a, 12-week, randomized, placebo-controlled clinical trial in approximately 100 NASH patients (the LIFT Study), which was fully enrolled in January 2021, and we expect top-line data in July 2021. Our investigational new drug application, or IND, for TERN-101 went into effect in May 2019. We received Fast Track designation from the FDA for TERN-101 for the treatment of NASH in October 2019. Fast Track designation does not guarantee an accelerated review by the FDA.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FXR agonists may address NASH in different liver cell types </w:t>
      </w:r>
    </w:p>
    <w:p>
      <w:pPr>
        <w:pStyle w:val="TextBody"/>
        <w:spacing w:before="120" w:after="0"/>
        <w:jc w:val="both"/>
        <w:rPr>
          <w:rFonts w:ascii="Times New Roman" w:hAnsi="Times New Roman"/>
          <w:b w:val="false"/>
          <w:i w:val="false"/>
          <w:caps w:val="false"/>
          <w:smallCaps w:val="false"/>
          <w:sz w:val="20"/>
        </w:rPr>
      </w:pPr>
      <w:bookmarkStart w:id="7" w:name="_Hlk63467677"/>
      <w:bookmarkEnd w:id="7"/>
      <w:r>
        <w:rPr>
          <w:rFonts w:ascii="Times New Roman" w:hAnsi="Times New Roman"/>
          <w:b w:val="false"/>
          <w:i w:val="false"/>
          <w:caps w:val="false"/>
          <w:smallCaps w:val="false"/>
          <w:sz w:val="20"/>
        </w:rPr>
        <w:t xml:space="preserve">FXR is a nuclear receptor primarily expressed in the liver, intestine and kidneys. FXR regulates hepatic expression of various genes involved in lipid metabolism, inflammation and fibrosis. In the hepatocyte, FXR activation induces small heterodimer partner, or SHP, a key metabolic regulator. The upregulation of SHP by FXR reduces the expression of sterol-regulatory element-binding protein 1C, or SREBP1C, a master regulator of triglyceride synthesis. FXR-mediated inhibition of SREBP1C and subsequent reduction in triglyceride levels could result in reduced hepatic steatosis. FXR also plays a role in modulating hepatic inflammation. Activation of FXR in the hepatocyte represses nuclear factor-kB, or NF-kB, via induction of SHP, thereby reducing hepatic inflammation. FXR activation is also directly associated with reduction in hepatic inflammation in Kupffer cells. In hepatic stellate cells, FXR activation reduces fibrogenic markers such collagen type 1 alpha 1, or Col1a1, and tissue inhibitor of metalloproteinase 1, or TIMP1. Inhibition of Col1a1 and TIMP1 reduces collagen synthesis and increases the degradation of the extracellular matrix, or ECM, thereby reducing liver fibrosis. </w:t>
      </w:r>
    </w:p>
    <w:p>
      <w:pPr>
        <w:pStyle w:val="TextBody"/>
        <w:spacing w:before="240" w:after="0"/>
        <w:jc w:val="center"/>
        <w:rPr>
          <w:rFonts w:ascii="Times New Roman" w:hAnsi="Times New Roman"/>
          <w:b w:val="false"/>
          <w:i w:val="false"/>
          <w:caps w:val="false"/>
          <w:smallCaps w:val="false"/>
          <w:sz w:val="20"/>
        </w:rPr>
      </w:pPr>
      <w:bookmarkStart w:id="8" w:name="_AEIOULastRenderedPageBreakAEIOU5"/>
      <w:bookmarkEnd w:id="8"/>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 liver-distributed FXR agonist has the potential to address NASH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by acting on the three key disease processes and cell types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4743450" cy="332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43450" cy="3324225"/>
                    </a:xfrm>
                    <a:prstGeom prst="rect">
                      <a:avLst/>
                    </a:prstGeom>
                  </pic:spPr>
                </pic:pic>
              </a:graphicData>
            </a:graphic>
          </wp:inline>
        </w:drawing>
      </w:r>
    </w:p>
    <w:p>
      <w:pPr>
        <w:pStyle w:val="TextBody"/>
        <w:spacing w:before="0" w:after="0"/>
        <w:jc w:val="both"/>
        <w:rPr/>
      </w:pPr>
      <w:r>
        <w:rPr/>
        <w:t> </w:t>
      </w:r>
    </w:p>
    <w:p>
      <w:pPr>
        <w:pStyle w:val="TextBody"/>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Clinical validation of FXR agonists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FXR agonism has been investigated in large-scale clinical trials and has shown clinically relevant improvements in NASH. In these clinical trials, FXR agonists have shown significant histological NASH improvements in fibrosis, as well as improvement in markers of liver function.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Limitations of other FXR agonists: pruritus and adverse lipid changes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trials of other FXR agonists have demonstrated significant histological NASH improvements but have also resulted in pruritus and adverse lipid changes. These tolerability issues have been observed in early Phase 1 clinical trials for other FXR agonists as shown in the table below and have been regarded as dose-limiting toxicities, which are suboptimal for patients and can lead to treatment discontinuation. However, in all four Phase 1 clinical trials of TERN-101, none of the 119 subjects who received TERN-101 reported pruritus, and the serum lipid profiles among TERN-101 recipients were similar to placebo recipients even at high doses. An FXR agonist that can demonstrate improved liver health with minimal adverse effects would have great potential benefits for NASH patients. </w:t>
      </w:r>
    </w:p>
    <w:p>
      <w:pPr>
        <w:pStyle w:val="TextBody"/>
        <w:spacing w:before="240" w:after="0"/>
        <w:jc w:val="center"/>
        <w:rPr>
          <w:rFonts w:ascii="Times New Roman" w:hAnsi="Times New Roman"/>
          <w:b w:val="false"/>
          <w:i w:val="false"/>
          <w:caps w:val="false"/>
          <w:smallCaps w:val="false"/>
          <w:sz w:val="20"/>
        </w:rPr>
      </w:pPr>
      <w:bookmarkStart w:id="9" w:name="_AEIOULastRenderedPageBreakAEIOU6"/>
      <w:bookmarkEnd w:id="9"/>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FXR agonists: comparison of Phase 1 clinical trial results </w:t>
      </w:r>
    </w:p>
    <w:p>
      <w:pPr>
        <w:pStyle w:val="TextBody"/>
        <w:spacing w:before="0" w:after="0"/>
        <w:jc w:val="both"/>
        <w:rPr/>
      </w:pPr>
      <w:r>
        <w:rPr/>
        <w:t> </w:t>
      </w:r>
    </w:p>
    <w:tbl>
      <w:tblPr>
        <w:tblW w:w="6664" w:type="dxa"/>
        <w:jc w:val="center"/>
        <w:tblInd w:w="0" w:type="dxa"/>
        <w:tblCellMar>
          <w:top w:w="0" w:type="dxa"/>
          <w:left w:w="0" w:type="dxa"/>
          <w:bottom w:w="0" w:type="dxa"/>
          <w:right w:w="0" w:type="dxa"/>
        </w:tblCellMar>
      </w:tblPr>
      <w:tblGrid>
        <w:gridCol w:w="1370"/>
        <w:gridCol w:w="1115"/>
        <w:gridCol w:w="1235"/>
        <w:gridCol w:w="1298"/>
        <w:gridCol w:w="1646"/>
      </w:tblGrid>
      <w:tr>
        <w:trPr/>
        <w:tc>
          <w:tcPr>
            <w:tcW w:w="137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r>
      <w:tr>
        <w:trPr/>
        <w:tc>
          <w:tcPr>
            <w:tcW w:w="1370" w:type="dxa"/>
            <w:tcBorders/>
            <w:shd w:fill="auto" w:val="clear"/>
            <w:vAlign w:val="bottom"/>
          </w:tcPr>
          <w:p>
            <w:pPr>
              <w:pStyle w:val="TableContents"/>
              <w:pBdr/>
              <w:spacing w:before="0" w:after="0"/>
              <w:ind w:left="0" w:right="0" w:hanging="0"/>
              <w:jc w:val="center"/>
              <w:rPr>
                <w:caps w:val="false"/>
                <w:smallCaps w:val="false"/>
              </w:rPr>
            </w:pPr>
            <w:r>
              <w:rPr>
                <w:caps w:val="false"/>
                <w:smallCaps w:val="false"/>
              </w:rPr>
              <w:t> </w:t>
            </w:r>
          </w:p>
        </w:tc>
        <w:tc>
          <w:tcPr>
            <w:tcW w:w="111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23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944" w:type="dxa"/>
            <w:gridSpan w:val="2"/>
            <w:tcBorders/>
            <w:shd w:fill="auto" w:val="clear"/>
            <w:vAlign w:val="bottom"/>
          </w:tcPr>
          <w:p>
            <w:pPr>
              <w:pStyle w:val="TableContents"/>
              <w:spacing w:lineRule="auto" w:line="288" w:before="0" w:after="0"/>
              <w:ind w:left="144"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Observations in Phase 1 clinical trials</w:t>
            </w:r>
            <w:r>
              <w:rPr>
                <w:rFonts w:ascii="Times New Roman" w:hAnsi="Times New Roman"/>
                <w:b/>
                <w:i w:val="false"/>
                <w:caps w:val="false"/>
                <w:smallCaps w:val="false"/>
                <w:sz w:val="14"/>
              </w:rPr>
              <w:t>(1)</w:t>
            </w:r>
            <w:r>
              <w:rPr>
                <w:rFonts w:ascii="Times New Roman" w:hAnsi="Times New Roman"/>
                <w:b/>
                <w:i w:val="false"/>
                <w:caps w:val="false"/>
                <w:smallCaps w:val="false"/>
                <w:sz w:val="16"/>
              </w:rPr>
              <w:t xml:space="preserve"> </w:t>
            </w:r>
          </w:p>
          <w:p>
            <w:pPr>
              <w:pStyle w:val="TableContents"/>
              <w:pBdr>
                <w:top w:val="single" w:sz="8" w:space="1" w:color="000000"/>
              </w:pBdr>
              <w:spacing w:before="0" w:after="0"/>
              <w:ind w:left="144" w:right="0" w:hanging="0"/>
              <w:jc w:val="center"/>
              <w:rPr>
                <w:caps w:val="false"/>
                <w:smallCaps w:val="false"/>
              </w:rPr>
            </w:pPr>
            <w:r>
              <w:rPr>
                <w:caps w:val="false"/>
                <w:smallCaps w:val="false"/>
              </w:rPr>
              <w:t> </w:t>
            </w:r>
          </w:p>
        </w:tc>
      </w:tr>
      <w:tr>
        <w:trPr/>
        <w:tc>
          <w:tcPr>
            <w:tcW w:w="137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Drug candidate</w:t>
            </w:r>
          </w:p>
          <w:p>
            <w:pPr>
              <w:pStyle w:val="TableContents"/>
              <w:pBdr>
                <w:top w:val="single" w:sz="8" w:space="1" w:color="000000"/>
              </w:pBdr>
              <w:spacing w:before="0" w:after="0"/>
              <w:ind w:left="765" w:right="0" w:hanging="0"/>
              <w:jc w:val="center"/>
              <w:rPr>
                <w:caps w:val="false"/>
                <w:smallCaps w:val="false"/>
              </w:rPr>
            </w:pPr>
            <w:r>
              <w:rPr>
                <w:caps w:val="false"/>
                <w:smallCaps w:val="false"/>
              </w:rPr>
              <w:t> </w:t>
            </w:r>
          </w:p>
        </w:tc>
        <w:tc>
          <w:tcPr>
            <w:tcW w:w="1115" w:type="dxa"/>
            <w:tcBorders/>
            <w:shd w:fill="auto" w:val="clear"/>
            <w:vAlign w:val="bottom"/>
          </w:tcPr>
          <w:p>
            <w:pPr>
              <w:pStyle w:val="TableContents"/>
              <w:spacing w:before="0" w:after="0"/>
              <w:ind w:left="144"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Developer </w:t>
            </w:r>
          </w:p>
          <w:p>
            <w:pPr>
              <w:pStyle w:val="TableContents"/>
              <w:pBdr>
                <w:top w:val="single" w:sz="8" w:space="1" w:color="000000"/>
              </w:pBdr>
              <w:spacing w:before="0" w:after="0"/>
              <w:ind w:left="144" w:right="0" w:hanging="0"/>
              <w:jc w:val="center"/>
              <w:rPr>
                <w:caps w:val="false"/>
                <w:smallCaps w:val="false"/>
              </w:rPr>
            </w:pPr>
            <w:r>
              <w:rPr>
                <w:caps w:val="false"/>
                <w:smallCaps w:val="false"/>
              </w:rPr>
              <w:t> </w:t>
            </w:r>
          </w:p>
        </w:tc>
        <w:tc>
          <w:tcPr>
            <w:tcW w:w="1235" w:type="dxa"/>
            <w:tcBorders/>
            <w:shd w:fill="auto" w:val="clear"/>
            <w:vAlign w:val="bottom"/>
          </w:tcPr>
          <w:p>
            <w:pPr>
              <w:pStyle w:val="TableContents"/>
              <w:spacing w:before="0" w:after="0"/>
              <w:ind w:left="144"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Dosing duration </w:t>
            </w:r>
          </w:p>
          <w:p>
            <w:pPr>
              <w:pStyle w:val="TableContents"/>
              <w:pBdr>
                <w:top w:val="single" w:sz="8" w:space="1" w:color="000000"/>
              </w:pBdr>
              <w:spacing w:before="0" w:after="0"/>
              <w:ind w:left="144" w:right="0" w:hanging="0"/>
              <w:jc w:val="center"/>
              <w:rPr>
                <w:caps w:val="false"/>
                <w:smallCaps w:val="false"/>
              </w:rPr>
            </w:pPr>
            <w:r>
              <w:rPr>
                <w:caps w:val="false"/>
                <w:smallCaps w:val="false"/>
              </w:rPr>
              <w:t> </w:t>
            </w:r>
          </w:p>
        </w:tc>
        <w:tc>
          <w:tcPr>
            <w:tcW w:w="1298" w:type="dxa"/>
            <w:tcBorders/>
            <w:shd w:fill="auto" w:val="clear"/>
            <w:vAlign w:val="bottom"/>
          </w:tcPr>
          <w:p>
            <w:pPr>
              <w:pStyle w:val="TableContents"/>
              <w:spacing w:before="0" w:after="0"/>
              <w:ind w:left="144"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Pruritus </w:t>
            </w:r>
          </w:p>
          <w:p>
            <w:pPr>
              <w:pStyle w:val="TableContents"/>
              <w:pBdr>
                <w:top w:val="single" w:sz="8" w:space="1" w:color="000000"/>
              </w:pBdr>
              <w:spacing w:before="0" w:after="0"/>
              <w:ind w:left="144" w:right="0" w:hanging="0"/>
              <w:jc w:val="center"/>
              <w:rPr>
                <w:caps w:val="false"/>
                <w:smallCaps w:val="false"/>
              </w:rPr>
            </w:pPr>
            <w:r>
              <w:rPr>
                <w:caps w:val="false"/>
                <w:smallCaps w:val="false"/>
              </w:rPr>
              <w:t> </w:t>
            </w:r>
          </w:p>
        </w:tc>
        <w:tc>
          <w:tcPr>
            <w:tcW w:w="1646" w:type="dxa"/>
            <w:tcBorders/>
            <w:shd w:fill="auto" w:val="clear"/>
            <w:vAlign w:val="bottom"/>
          </w:tcPr>
          <w:p>
            <w:pPr>
              <w:pStyle w:val="TableContents"/>
              <w:spacing w:before="0" w:after="0"/>
              <w:ind w:left="144"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 xml:space="preserve">Lipid profile change </w:t>
            </w:r>
          </w:p>
          <w:p>
            <w:pPr>
              <w:pStyle w:val="TableContents"/>
              <w:pBdr>
                <w:top w:val="single" w:sz="8" w:space="1" w:color="000000"/>
              </w:pBdr>
              <w:spacing w:before="0" w:after="0"/>
              <w:ind w:left="144" w:right="0" w:hanging="0"/>
              <w:jc w:val="center"/>
              <w:rPr>
                <w:caps w:val="false"/>
                <w:smallCaps w:val="false"/>
              </w:rPr>
            </w:pPr>
            <w:r>
              <w:rPr>
                <w:caps w:val="false"/>
                <w:smallCaps w:val="false"/>
              </w:rPr>
              <w:t> </w:t>
            </w:r>
          </w:p>
        </w:tc>
      </w:tr>
      <w:tr>
        <w:trPr/>
        <w:tc>
          <w:tcPr>
            <w:tcW w:w="137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1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3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98"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646"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370"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TERN-101</w:t>
            </w:r>
          </w:p>
        </w:tc>
        <w:tc>
          <w:tcPr>
            <w:tcW w:w="111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w:t>
            </w:r>
          </w:p>
        </w:tc>
        <w:tc>
          <w:tcPr>
            <w:tcW w:w="123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14d</w:t>
            </w:r>
          </w:p>
        </w:tc>
        <w:tc>
          <w:tcPr>
            <w:tcW w:w="1298"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tc>
        <w:tc>
          <w:tcPr>
            <w:tcW w:w="1646"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tc>
      </w:tr>
      <w:tr>
        <w:trPr/>
        <w:tc>
          <w:tcPr>
            <w:tcW w:w="137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1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3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98"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646"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370"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MET409</w:t>
            </w:r>
          </w:p>
        </w:tc>
        <w:tc>
          <w:tcPr>
            <w:tcW w:w="111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Metacrine</w:t>
            </w:r>
          </w:p>
        </w:tc>
        <w:tc>
          <w:tcPr>
            <w:tcW w:w="123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14d</w:t>
            </w:r>
          </w:p>
        </w:tc>
        <w:tc>
          <w:tcPr>
            <w:tcW w:w="1298"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Yes</w:t>
            </w:r>
          </w:p>
        </w:tc>
        <w:tc>
          <w:tcPr>
            <w:tcW w:w="1646"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Yes</w:t>
            </w:r>
          </w:p>
        </w:tc>
      </w:tr>
      <w:tr>
        <w:trPr/>
        <w:tc>
          <w:tcPr>
            <w:tcW w:w="137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1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3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98"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646"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370"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EDP-305</w:t>
            </w:r>
          </w:p>
        </w:tc>
        <w:tc>
          <w:tcPr>
            <w:tcW w:w="111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Enanta</w:t>
            </w:r>
          </w:p>
        </w:tc>
        <w:tc>
          <w:tcPr>
            <w:tcW w:w="123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14d</w:t>
            </w:r>
          </w:p>
        </w:tc>
        <w:tc>
          <w:tcPr>
            <w:tcW w:w="1298"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Yes</w:t>
            </w:r>
          </w:p>
        </w:tc>
        <w:tc>
          <w:tcPr>
            <w:tcW w:w="1646"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Yes</w:t>
            </w:r>
          </w:p>
        </w:tc>
      </w:tr>
      <w:tr>
        <w:trPr/>
        <w:tc>
          <w:tcPr>
            <w:tcW w:w="137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1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3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98"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646"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370" w:type="dxa"/>
            <w:tcBorders/>
            <w:shd w:fill="auto" w:val="clear"/>
          </w:tcPr>
          <w:p>
            <w:pPr>
              <w:pStyle w:val="TableContents"/>
              <w:spacing w:before="0" w:after="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EYP001</w:t>
            </w:r>
          </w:p>
        </w:tc>
        <w:tc>
          <w:tcPr>
            <w:tcW w:w="111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Enyo</w:t>
            </w:r>
          </w:p>
        </w:tc>
        <w:tc>
          <w:tcPr>
            <w:tcW w:w="123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15d</w:t>
            </w:r>
          </w:p>
        </w:tc>
        <w:tc>
          <w:tcPr>
            <w:tcW w:w="1298"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Yes</w:t>
            </w:r>
          </w:p>
        </w:tc>
        <w:tc>
          <w:tcPr>
            <w:tcW w:w="1646"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disclosed</w:t>
            </w:r>
          </w:p>
        </w:tc>
      </w:tr>
      <w:tr>
        <w:trPr/>
        <w:tc>
          <w:tcPr>
            <w:tcW w:w="137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11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3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98"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646"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370" w:type="dxa"/>
            <w:tcBorders/>
            <w:shd w:fill="auto" w:val="clear"/>
          </w:tcPr>
          <w:p>
            <w:pPr>
              <w:pStyle w:val="TableContents"/>
              <w:spacing w:before="0" w:after="20"/>
              <w:ind w:left="240" w:right="0" w:hanging="2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Obeticholic acid</w:t>
            </w:r>
          </w:p>
        </w:tc>
        <w:tc>
          <w:tcPr>
            <w:tcW w:w="111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Intercept</w:t>
            </w:r>
          </w:p>
        </w:tc>
        <w:tc>
          <w:tcPr>
            <w:tcW w:w="123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14d</w:t>
            </w:r>
          </w:p>
        </w:tc>
        <w:tc>
          <w:tcPr>
            <w:tcW w:w="1298"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Yes</w:t>
            </w:r>
          </w:p>
        </w:tc>
        <w:tc>
          <w:tcPr>
            <w:tcW w:w="1646"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Yes</w:t>
            </w:r>
          </w:p>
        </w:tc>
      </w:tr>
    </w:tbl>
    <w:p>
      <w:pPr>
        <w:pStyle w:val="TextBody"/>
        <w:spacing w:before="0" w:after="0"/>
        <w:jc w:val="both"/>
        <w:rPr/>
      </w:pPr>
      <w:r>
        <w:rPr/>
        <w:t> </w:t>
      </w:r>
    </w:p>
    <w:tbl>
      <w:tblPr>
        <w:tblW w:w="8995" w:type="dxa"/>
        <w:jc w:val="left"/>
        <w:tblInd w:w="0" w:type="dxa"/>
        <w:tblCellMar>
          <w:top w:w="0" w:type="dxa"/>
          <w:left w:w="0" w:type="dxa"/>
          <w:bottom w:w="0" w:type="dxa"/>
          <w:right w:w="0" w:type="dxa"/>
        </w:tblCellMar>
      </w:tblPr>
      <w:tblGrid>
        <w:gridCol w:w="245"/>
        <w:gridCol w:w="8750"/>
      </w:tblGrid>
      <w:tr>
        <w:trPr/>
        <w:tc>
          <w:tcPr>
            <w:tcW w:w="245" w:type="dxa"/>
            <w:tcBorders/>
            <w:shd w:fill="auto" w:val="clear"/>
          </w:tcPr>
          <w:p>
            <w:pPr>
              <w:pStyle w:val="TableContents"/>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(1)</w:t>
            </w:r>
          </w:p>
        </w:tc>
        <w:tc>
          <w:tcPr>
            <w:tcW w:w="8750" w:type="dxa"/>
            <w:tcBorders/>
            <w:shd w:fill="auto" w:val="clear"/>
          </w:tcPr>
          <w:p>
            <w:pPr>
              <w:pStyle w:val="TableContents"/>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Includes findings from trials conducted by other sponsors. Denotes changes as compared to control group.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the liabilities from the other FXR agonists may be due to their activation of FXR outside the liver, particularly in the intestine. FXR activation in intestinal enterocytes results in the secretion of Fibroblast Growth Factor 19, or FGF19, which has been associated with increased serum low-density lipoprotein, or LDL, cholesterol in published studies. Pruritus has been observed in clinical studies of other FXR agonists known to activate intestinal FXR. On the other hand, the use of bile acid sequestrants (such as cholestyramine or colesevelam) or ileal bile acid transporter, or IBAT, inhibitors has been demonstrated in several clinical studies to reduce plasma LDL, cholesterol in patients with hyperlipidemia and also to mitigate pruritus in patients with cholestatic liver disease, potentially through prevention of FXR activation. Therefore, we believe that an FXR agonist with sustained activity in the liver, but only minimal or transient intestinal or other extrahepatic FXR activity, would likely not be associated with pruritus or adverse lipid changes.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Our solution: TERN-101, a liver-distributed FXR agonist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TERN-101 has been well-tolerated in completed clinical trials to date because of its high liver distribution, thereby minimizing activation of intestinal pathways that may be associated with pruritus and adverse lipid changes. The figure on the left below demonstrates in a preclinical model that administration of TERN-101 results in significantly higher distribution to the liver compared to other FXR agonists. The figure on the right below demonstrates that administration of TERN-101 is also associated with much higher activation of liver-related FXR gene expression, in contrast to intestinally-directed FXR agonists that have greater FXR gene activation in the intestine than in the liver. Studies have demonstrated that there is minimal overlap between liver and intestine FXR binding sites, indicating potentially a high degree of tissue-specific FXR function. </w:t>
      </w:r>
    </w:p>
    <w:p>
      <w:pPr>
        <w:pStyle w:val="TextBody"/>
        <w:spacing w:before="240" w:after="0"/>
        <w:jc w:val="center"/>
        <w:rPr>
          <w:rFonts w:ascii="Times New Roman" w:hAnsi="Times New Roman"/>
          <w:b w:val="false"/>
          <w:i w:val="false"/>
          <w:caps w:val="false"/>
          <w:smallCaps w:val="false"/>
          <w:sz w:val="20"/>
        </w:rPr>
      </w:pPr>
      <w:bookmarkStart w:id="10" w:name="_AEIOULastRenderedPageBreakAEIOU7"/>
      <w:bookmarkEnd w:id="10"/>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TERN-101 preferentially distributes to liver and induces liver-specific genes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867400" cy="2781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67400" cy="2781300"/>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Figure</w:t>
      </w:r>
      <w:r>
        <w:rPr>
          <w:rFonts w:ascii="Times New Roman" w:hAnsi="Times New Roman"/>
          <w:b w:val="false"/>
          <w:i/>
          <w:caps w:val="false"/>
          <w:smallCaps w:val="false"/>
          <w:sz w:val="20"/>
        </w:rPr>
        <w:t xml:space="preserve">: The information from the figure above (left) represents preclinical data derived from a rat model conducted by Terns (2 mg/kg of TERN-101, cilofexor or tropifexor); and data disclosed in regulatory filings for the 30 mg/kg of OCA. The information from the figure above (right) represents preclinical data derived from a mouse study model of SHP gene expression conducted by Terns after 7 days of dosing with TERN-101 (10 mg/kg), OCA (30 mg/kg) and tropifexor (0.3 mg/kg). SHP functions to inhibit bile acid synthesis.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TERN-101 administration demonstrates sustained FXR activation in the liver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liver-distributed profile of TERN-101 has been demonstrated in a Phase 1 clinical trial of the pharmacodynamics of TERN-101 in 36 human subjects. Sustained liver FXR activation in human subjects was demonstrated by dose-dependent decreases in 7 alpha-hydroxy-4-cholesten-3-one, or C4, concentrations that are among the most potent demonstrated with an FXR agonist to date. A decrease in C4 is a surrogate marker for FXR activation in the liver. In contrast to sustained liver FXR activation, repeated administration of TERN-101 over seven days resulted in only a transient increase of FGF19, suggesting transient intestinal FXR activation while the drug is being absorbed. Data from other FXR agonists in development demonstrate a much more sustained increase in FGF19 that persists through repeat administrations, which may indicate that sustained intestinal FXR activation is associated with their underlying tolerability issues. </w:t>
      </w:r>
    </w:p>
    <w:p>
      <w:pPr>
        <w:pStyle w:val="TextBody"/>
        <w:spacing w:before="240" w:after="0"/>
        <w:jc w:val="center"/>
        <w:rPr>
          <w:rFonts w:ascii="Times New Roman" w:hAnsi="Times New Roman"/>
          <w:b w:val="false"/>
          <w:i w:val="false"/>
          <w:caps w:val="false"/>
          <w:smallCaps w:val="false"/>
          <w:sz w:val="20"/>
        </w:rPr>
      </w:pPr>
      <w:bookmarkStart w:id="11" w:name="_AEIOULastRenderedPageBreakAEIOU8"/>
      <w:bookmarkEnd w:id="11"/>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TERN-101 induces sustained suppression of C4 but only transient increases of FGF19 </w:t>
      </w:r>
    </w:p>
    <w:p>
      <w:pPr>
        <w:pStyle w:val="TextBody"/>
        <w:spacing w:before="0" w:after="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886450" cy="2019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86450" cy="2019300"/>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Figure: </w:t>
      </w:r>
      <w:r>
        <w:rPr>
          <w:rFonts w:ascii="Times New Roman" w:hAnsi="Times New Roman"/>
          <w:b w:val="false"/>
          <w:i/>
          <w:caps w:val="false"/>
          <w:smallCaps w:val="false"/>
          <w:sz w:val="20"/>
        </w:rPr>
        <w:t xml:space="preserve">Change in C4 relative to baseline (Day 1) on Day 7. FGF19 figure represents the mean FGF19 plasma concentration on </w:t>
        <w:br/>
        <w:t xml:space="preserve">Day 7.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TERN-101 administration is not associated with liabilities of other FXR agonists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Across four completed Phase 1 clinical trials in 136 subjects, TERN-101 was administered to 119 subjects and was generally well-tolerated with no confirmed dose-related tolerability signals. Adverse events, or AEs, tended to be mild to moderate, with no dose-related increases in AEs. There was no pruritus among the 119 subjects treated with TERN-101, and lipid profiles in the TERN-101 dose groups were similar to placebo across each trial, including single administrations of TERN-101 at dose level of 600mg and repeated administrations at dose levels of 400mg for 14 days. The chart below plots serum LDL cholesterol concentrations from a Phase 1 pharmacodynamic clinical trial in 36 subjects and demonstrates that the lipid profiles are similar for subjects receiving TERN-101 or placebo. In one Phase 1 clinical trial, one subject receiving placebo and two subjects receiving 400 mg TERN-101 experienced elevations in alanine aminotransferase, or ALT, and aspartate transaminase, or AST, up to approximately five times the upper limit of normal. One of the TERN-101 recipients experienced transient transaminase elevations that decreased upon continued dosing through the duration of the trial, while the other TERN-101 recipient discontinued treatment. Transaminase elevations did not exceed 5.2x the upper limit of normal in any subject who received TERN-101, and none of these subjects had concomitant elevations in bilirubin. Transaminases for each of these subjects decreased to baseline at the end of the clinical trial. No transaminase elevations &gt;1.5x upper limit of normal were observed in other TERN-101 clinical trials, including the single ascending dose trial (including doses of 600 mg) and a subsequent repeat dose trial (25 mg, 75 mg and 150 mg doses). Therefore, across the four completed Phase 1 clinical trials for TERN-101 it was concluded that the changes from baseline in ALT and AST were similar between TERN-101 and placebo recipients and the transaminase elevations that occurred in one Phase 1 clinical trial were not clinically relevant. ALT and AST elevations did not recur in subsequent trials. </w:t>
      </w:r>
    </w:p>
    <w:p>
      <w:pPr>
        <w:pStyle w:val="TextBody"/>
        <w:spacing w:before="240" w:after="0"/>
        <w:jc w:val="center"/>
        <w:rPr>
          <w:rFonts w:ascii="Times New Roman" w:hAnsi="Times New Roman"/>
          <w:b w:val="false"/>
          <w:i w:val="false"/>
          <w:caps w:val="false"/>
          <w:smallCaps w:val="false"/>
          <w:sz w:val="20"/>
        </w:rPr>
      </w:pPr>
      <w:bookmarkStart w:id="12" w:name="_AEIOULastRenderedPageBreakAEIOU9"/>
      <w:bookmarkEnd w:id="12"/>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TERN-101 shows comparable LDL changes to placebo in 7-day Pharmacokinetics/Pharmacodynamics Phase 1 trial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2657475" cy="2219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57475" cy="2219325"/>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Figure</w:t>
      </w:r>
      <w:r>
        <w:rPr>
          <w:rFonts w:ascii="Times New Roman" w:hAnsi="Times New Roman"/>
          <w:b w:val="false"/>
          <w:i/>
          <w:caps w:val="false"/>
          <w:smallCaps w:val="false"/>
          <w:sz w:val="20"/>
        </w:rPr>
        <w:t xml:space="preserve">: Changes from baseline (Day -1) in mean LDL.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the favorable Phase 1 tolerability profile stems from the fact that TERN-101 is liver-distributed, with limited systemic and intestinal FXR activation that may be associated with the pruritus and adverse lipid changes seen with other FXR agonists. The solid line in the chart below shows the average plasma level on Day 7 of TERN-101 in human subjects administered 150 mg TERN-101 capsules. The dotted line represents projected TERN-101 liver concentration, which was calculated based on the TERN-101 rat tissue distribution study results. Plasma concentrations at this dose generally do not exceed the TERN-101 EC50 throughout the 24 hour dosing period, thereby avoiding the effects of FXR activation outside of the liver, which we believe explains the lower incidence of off-target effects typically associated with other FXR agonists in development. However, liver concentrations of TERN-101 are projected to be much higher than the TERN-101 EC50 throughout the dosing period, which we believe accounts for the potent C4 decreases observed with TERN-101. Together, these data suggest TERN-101 activity will mainly occur in the liver. </w:t>
      </w:r>
    </w:p>
    <w:p>
      <w:pPr>
        <w:pStyle w:val="TextBody"/>
        <w:spacing w:before="36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TERN-101 is projected to achieve sustained liver activation </w:t>
      </w:r>
    </w:p>
    <w:p>
      <w:pPr>
        <w:pStyle w:val="TextBody"/>
        <w:spacing w:before="0" w:after="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4238625" cy="1981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38625" cy="1981200"/>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Figure</w:t>
      </w:r>
      <w:r>
        <w:rPr>
          <w:rFonts w:ascii="Times New Roman" w:hAnsi="Times New Roman"/>
          <w:b w:val="false"/>
          <w:i/>
          <w:caps w:val="false"/>
          <w:smallCaps w:val="false"/>
          <w:sz w:val="20"/>
        </w:rPr>
        <w:t xml:space="preserve">: TERN-101 150 mg capsule formulation mean plasma concentration and projected liver concentration over time on Day 7. </w:t>
      </w:r>
    </w:p>
    <w:p>
      <w:pPr>
        <w:pStyle w:val="TextBody"/>
        <w:spacing w:before="240" w:after="0"/>
        <w:jc w:val="both"/>
        <w:rPr>
          <w:caps w:val="false"/>
          <w:smallCaps w:val="false"/>
        </w:rPr>
      </w:pPr>
      <w:r>
        <w:rPr>
          <w:caps w:val="false"/>
          <w:smallCaps w:val="false"/>
        </w:rPr>
        <w:t> </w:t>
      </w:r>
      <w:r>
        <w:rPr>
          <w:rFonts w:ascii="Times New Roman" w:hAnsi="Times New Roman"/>
          <w:b w:val="false"/>
          <w:i/>
          <w:caps w:val="false"/>
          <w:smallCaps w:val="false"/>
          <w:sz w:val="20"/>
        </w:rPr>
        <w:t xml:space="preserve">Ongoing Phase 2a Clinical Trial of TERN-101 (LIFT Study) in NASH patients for 12 weeks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TERN-101 is currently being evaluated in the LIFT Study, a Phase 2a, 12-week, randomized, placebo-controlled clinical trial in approximately 100 patients with phenotypic or biopsy-diagnosed NASH, identified either by prior biopsy or clinical diagnosis (liver stiffness measured by transient elastography of 7.6—25 kPa and controlled attenuation parameter (CAP) &gt; 300). In January 2021, we completed the enrollment of patients into the LIFT Study and top-line data are expected in July 2021. Clinical trial participants receive once-daily oral administration of placebo or TERN-101 tablet doses of 5 mg, 10 mg or 15 mg for 12 weeks. TERN-101 plasma concentrations resulting from these tablet doses are expected to fall within a comparable range as the plasma concentrations observed in Phase 1 studies of capsule formulation doses of 25 mg to 150 mg. The primary endpoint is the incidence of adverse events. Key secondary and exploratory outcome measures are percent change from baseline in ALT, change from baseline in hepatic fat fraction assessed by magnetic resonance imaging derived proton density fat fraction, or MRI-PDFF, as well as other biomarkers that have been associated with histologic improvements in NASH patients. </w:t>
      </w:r>
    </w:p>
    <w:p>
      <w:pPr>
        <w:pStyle w:val="TextBody"/>
        <w:spacing w:before="20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TERN-101 Phase 2a LIFT trial design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886450" cy="2495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86450" cy="2495550"/>
                    </a:xfrm>
                    <a:prstGeom prst="rect">
                      <a:avLst/>
                    </a:prstGeom>
                  </pic:spPr>
                </pic:pic>
              </a:graphicData>
            </a:graphic>
          </wp:inline>
        </w:drawing>
      </w:r>
    </w:p>
    <w:p>
      <w:pPr>
        <w:pStyle w:val="TextBody"/>
        <w:spacing w:before="0" w:after="0"/>
        <w:jc w:val="both"/>
        <w:rPr/>
      </w:pPr>
      <w:r>
        <w:rPr/>
        <w:t> </w:t>
      </w:r>
    </w:p>
    <w:p>
      <w:pPr>
        <w:pStyle w:val="TextBody"/>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TERN-201 – a highly selective VAP-1 inhibitor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Drug candidate summary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TERN-201 is a highly selective, irreversible, covalent inhibitor of VAP-1. In our Phase 1a first-in-human (SAD/MAD) clinical trial across 61 healthy subjects, TERN-201 was shown to fully suppress plasma VAP-1 activity at all of the doses that we evaluated and VAP-1 suppression was evident up to days after a single dose. In preclinical studies, TERN-201 reduced fibrosis in a model of liver injury in a dose-dependent manner, with inflammation and fibrosis significantly reduced after treatment. TERN-201 exhibits high selectivity for VAP-1 and enhanced liver distribution. Importantly, TERN-201 does not inhibit human MAO-A and MAO-B, thereby avoiding risks associated with MAO inhibition. We believe the sustained activity of TERN-201, with its VAP-1 selectivity and anticipated low therapeutic dose, make it suitable for coadministration with therapies directed at steatosis and other metabolic processes involved in NASH. We are currently preparing to initiate a Phase 1b clinical trial of TERN-201 in NASH patients in the first half of 2021 and expect top-line data in the first half of 2022. Our IND for TERN-201 went into effect in January 2019. We received Fast Track designation from the FDA for TERN-201 for the treatment of NASH in August 2020. Fast Track designation does not guarantee an accelerated review by the FDA.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Overview of VAP-1 biology in NASH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liver damage accumulates in NAFLD and NASH patients, VAP-1 becomes increasingly expressed on the endothelium of blood vessels within the liver. Through its function as a leukocyte adhesion molecule, VAP-1 facilitates the deceleration, binding and transmigration of leukocytes from the blood stream into the liver, and recruits co-functioning proteins to aid in the transmigration process. These leukocytes respond to local liver tissue damage and multiple stimuli, reproducing and releasing cytokines which cause progressive liver inflammation. In addition,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VAP-1 acts as an enzyme to break down short-chain primary amines in the blood and produce reactive oxygen species, or ROS, aldehyde, ammonia and hydrogen peroxide in the liver, which in turn cause inflammation, hepatic oxidative stress and tissue damage. Together, the cytokine cascades resulting from white blood cell liver penetration and local ROS-mediated oxidative stress and tissue damage stimulate fibrosis, the synthesis of ECM by activating hepatic stellate cells. The following graphic illustrates this process.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VAP-1 increases oxidative stress, recruits white blood cells to the liver, increases inflammation and fibrosis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3819525" cy="3143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819525" cy="3143250"/>
                    </a:xfrm>
                    <a:prstGeom prst="rect">
                      <a:avLst/>
                    </a:prstGeom>
                  </pic:spPr>
                </pic:pic>
              </a:graphicData>
            </a:graphic>
          </wp:inline>
        </w:drawing>
      </w:r>
    </w:p>
    <w:p>
      <w:pPr>
        <w:pStyle w:val="TextBody"/>
        <w:spacing w:before="0" w:after="0"/>
        <w:jc w:val="both"/>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Clinical validation of VAP-1 inhibition in NASH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VAP-1 inhibition has the potential to address the inflammatory process in NASH patients. Preclinical data have demonstrated that VAP-1 inhibition improves liver histology and serum biomarkers. VAP-1 has been shown to be over-expressed in the livers of NASH patients in response to local lipotoxicity and liver injury. Increased levels of soluble VAP-1 in the plasma is also associated with the presence of NASH, and with increasing liver fibrosis. In a Phase 2a clinical trial, administration of a different VAP-1 inhibitor over 12 weeks in NASH patients demonstrated significant, dose dependent decreases from baseline in ALT, AST, GGT and CK-18, markers of liver injury and inflammation and cell death compared to placebo. Improvements in these markers provide clinical proof-of-concept for VAP-1 inhibition as a treatment approach in NASH.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Limitations of other VAP-1 inhibitors in development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clinical trial of another VAP-1 inhibitor in NASH patients demonstrated improvements in markers of liver injury, inflammation and cell death, including significant reductions in ALT. However, other VAP-1 inhibitors currently in development for NASH are associated MAO inhibition due to their lack of specificity for binding VAP-1. Drugs that inhibit MAO create the risk of life-threatening serotonin syndrome and hypertensive crisis when administered with commonly prescribed serotonergic drugs and with tyramine-containing foods. Therefore, we believe a VAP-1 inhibitor with improved selectivity for VAP-1 inhibition that lacks the potential to inhibit MAO-A or MAO-B could provide meaningful clinical benefit to NASH patients in reducing inflammation and liver fibrosis without risks related to MAO inhibition.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Our solution for VAP-1 inhibition: TERN-201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TERN-201 was selected over other discovery candidates because it is highly specific for VAP-1 inhibition and has minimal potential to inhibit MAO-A or MAO-B at clinically relevant concentrations. Preclinical studies showed that TERN-201 was greater than 7000-fold more selective for VAP-1 than for MAO-A or MAO-B. In clinical studies, TERN-201 has shown strong VAP-1 inhibition at all doses studied, and plasma TERN-201 concentrations, or Cmax, after 7 days of dosing were more than 300 times lower than the IC50 concentrations for MAO-A and MAO–B inhibition at the highest dose level studied. The graph below illustrates the selectivity of TERN-201 for VAP-1 inhibition over MAO inhibition shown in preclinical studies.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TERN-201 shows no apparent MAO inhibition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Fold selectivity for VAP-1 over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MAO-A or MAO-B </w:t>
      </w:r>
    </w:p>
    <w:p>
      <w:pPr>
        <w:pStyle w:val="TextBody"/>
        <w:spacing w:before="0" w:after="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3343275" cy="2724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343275" cy="2724150"/>
                    </a:xfrm>
                    <a:prstGeom prst="rect">
                      <a:avLst/>
                    </a:prstGeom>
                  </pic:spPr>
                </pic:pic>
              </a:graphicData>
            </a:graphic>
          </wp:inline>
        </w:drawing>
      </w:r>
    </w:p>
    <w:p>
      <w:pPr>
        <w:pStyle w:val="TextBody"/>
        <w:spacing w:before="0" w:after="0"/>
        <w:jc w:val="both"/>
        <w:rPr/>
      </w:pPr>
      <w:r>
        <w:rPr/>
        <w:t> </w:t>
      </w:r>
    </w:p>
    <w:p>
      <w:pPr>
        <w:pStyle w:val="TextBody"/>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Clinical development of TERN-201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completed a first-in-human, double-blind, randomized, placebo-controlled, Phase 1 clinical trial (SAD/MAD) of TERN-201 which assessed the safety, pharmacokinetics, or PK, and pharmacodynamics, or PD, in 61 healthy subjects. Single oral TERN-201 doses of 1, 3, 6 or 10 mg and repeat doses of 1 mg and 4 mg (once-daily for 7 days) and 10 mg (once-daily for 14 days) were administered. In the trial, TERN-201 target engagement was assessed by measuring decreases from baseline in the semi-carbazide sensitive amine oxidase, or SSAO, activity which results from VAP-1 enzymatic activity, and by changes from baseline in methylamine, a biomarker that increases in concentration in the blood as its metabolism by VAP-1 is inhibited.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TERN-201 demonstrated robust and sustained VAP-1 target engagement. Near complete inhibition of VAP-1 plasma SSAO activity was observed at four hours post-dose on Day One in all single and multiple dose groups. There was evidence of dose dependent sustained decreases in VAP-1 plasma SSAO activity for one week after completion of single and repeat dosing due to covalent binding of TERN-201 to VAP-1 and the rate of regeneration of VAP-1 over several days after completion of TERN-201 dosing. Near complete suppression of VAP-1 plasma SSAO activity persisted to 7 days after completion of a single TERN-201 dose of 10 mg and repeat doses of 4 mg and 10 mg. Changes from baseline in methylamine were also dose dependent, with the greatest increases from baseline observed in the TERN-201 10 mg dose group in both single and multiple dose cohorts.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TERN-201 demonstrates near complete inhibition of VAP-1 plasma SSAO activity in single ascending dose Phase 1 trial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3657600" cy="2152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152650"/>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Phase 1 SAD/MAD clinical trial, TERN-201 administered for up to 14 days was generally well-tolerated with no tolerability signals based on AEs, safety laboratory testing and electrocardiogram monitoring. Clinical and preclinical studies indicate that TERN-201 is not extensively metabolized and is unlikely to inhibit or induce major drug metabolism pathways or MAOs; therefore, it has a low potential for drug-drug interactions. This profile as well as its pharmaceutical properties and anticipated low therapeutic dose make it a very attractive candidate for co-formulation with other drugs as part of a single-tablet, fixed-dose combination treatment for NASH.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Preclinical data for TERN-201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preclinical studies, TERN-201 demonstrated dose-dependent beneficial effects on liver histology and serum biomarkers comparable to other VAP-1 inhibitors in development. TERN-201 exhibited dose-dependent inhibition of rat hepatic stellate cells activation and reduction of fibrosis, inflammation, and ballooning in an </w:t>
      </w:r>
      <w:r>
        <w:rPr>
          <w:rFonts w:ascii="Times New Roman" w:hAnsi="Times New Roman"/>
          <w:b w:val="false"/>
          <w:i/>
          <w:caps w:val="false"/>
          <w:smallCaps w:val="false"/>
          <w:sz w:val="20"/>
        </w:rPr>
        <w:t>in vivo</w:t>
      </w:r>
      <w:r>
        <w:rPr>
          <w:rFonts w:ascii="Times New Roman" w:hAnsi="Times New Roman"/>
          <w:b w:val="false"/>
          <w:i w:val="false"/>
          <w:caps w:val="false"/>
          <w:smallCaps w:val="false"/>
          <w:sz w:val="20"/>
        </w:rPr>
        <w:t xml:space="preserve"> rodent model of liver inflammation and fibrosis. TERN-201 also reduced inflammation and markers of fibrosis, leukocyte infiltration, and hepatic stellate cell activation in an </w:t>
      </w:r>
      <w:r>
        <w:rPr>
          <w:rFonts w:ascii="Times New Roman" w:hAnsi="Times New Roman"/>
          <w:b w:val="false"/>
          <w:i/>
          <w:caps w:val="false"/>
          <w:smallCaps w:val="false"/>
          <w:sz w:val="20"/>
        </w:rPr>
        <w:t>in vivo</w:t>
      </w:r>
      <w:r>
        <w:rPr>
          <w:rFonts w:ascii="Times New Roman" w:hAnsi="Times New Roman"/>
          <w:b w:val="false"/>
          <w:i w:val="false"/>
          <w:caps w:val="false"/>
          <w:smallCaps w:val="false"/>
          <w:sz w:val="20"/>
        </w:rPr>
        <w:t xml:space="preserve"> NASH rodent model. Histological improvements were noted in inflammation and fibrosis scores as shown in the figure below. The animals in the TERN-201 dosing groups had a reduced inflammation score of 1.1, while placebo animals on average had an inflammation score of 2.3. This significant histological response correlates with the anti-inflammatory activity of TERN-201. Fibrosis scores were also reduced with an average score of 2.1 and 2.3 for the low and high TERN-201 dosing groups, respectively, compared to an average score of 2.9 in the placebo group. </w:t>
      </w:r>
    </w:p>
    <w:p>
      <w:pPr>
        <w:pStyle w:val="TextBody"/>
        <w:spacing w:before="240" w:after="0"/>
        <w:jc w:val="center"/>
        <w:rPr>
          <w:rFonts w:ascii="Times New Roman" w:hAnsi="Times New Roman"/>
          <w:b w:val="false"/>
          <w:i w:val="false"/>
          <w:caps w:val="false"/>
          <w:smallCaps w:val="false"/>
          <w:sz w:val="20"/>
        </w:rPr>
      </w:pPr>
      <w:bookmarkStart w:id="13" w:name="_AEIOULastRenderedPageBreakAEIOU10"/>
      <w:bookmarkEnd w:id="13"/>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TERN-201 reduces liver inflammation and fibrosis in an </w:t>
      </w:r>
      <w:r>
        <w:rPr>
          <w:rFonts w:ascii="Times New Roman" w:hAnsi="Times New Roman"/>
          <w:b/>
          <w:i/>
          <w:caps w:val="false"/>
          <w:smallCaps w:val="false"/>
          <w:sz w:val="20"/>
        </w:rPr>
        <w:t>in vivo</w:t>
      </w:r>
      <w:r>
        <w:rPr>
          <w:rFonts w:ascii="Times New Roman" w:hAnsi="Times New Roman"/>
          <w:b/>
          <w:i w:val="false"/>
          <w:caps w:val="false"/>
          <w:smallCaps w:val="false"/>
          <w:sz w:val="20"/>
        </w:rPr>
        <w:t xml:space="preserve"> rodent model of NASH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867400" cy="1543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867400" cy="1543050"/>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Figure: </w:t>
      </w:r>
      <w:r>
        <w:rPr>
          <w:rFonts w:ascii="Times New Roman" w:hAnsi="Times New Roman"/>
          <w:b w:val="false"/>
          <w:i/>
          <w:caps w:val="false"/>
          <w:smallCaps w:val="false"/>
          <w:sz w:val="20"/>
        </w:rPr>
        <w:t>Efficacy of TERN-201 in a rat model of NASH. Liver steatosis, inflammation and fibrosis assessed by histological scoring in treated groups (n=10). TERN-201 treatment groups had an ~1 point reduction in inflammation and fibrosis scores relative to the placebo group. Data for individual animals (dots) and mean (dashed line) are presented.</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Planned TERN-201 Phase 1b clinical trial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intend to initiate a 12-week Phase 1b clinical trial of TERN-201 in patients with NASH in the first half of 2021 that will assess the tolerability of different doses of TERN-201 and the potential improvements in NASH biomarkers. We expect to enroll approximately 60 patients in this trial. The primary endpoint of this trial will be to assess the safety of TERN-201. We expect top-line data from this clinical trial to be available in the first half of 2022. Following this clinical trial, we will consider subsequent trials of TERN-201 as monotherapy or potentially in combination with a metabolically active NASH treatment.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TERN-501 – a selective THR-β agonist with enhanced metabolic stability and liver distribution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Drug candidate summary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TERN-501 is a selective THR-β agonist with enhanced metabolic stability and liver distribution, characteristics that are intended to improve safety and efficacy in NASH patients. THR-β is the major form of thyroid hormone receptor in the liver and regulates key aspects of energy metabolism, including fatty acid and lipid synthesis and removal of liver fat through induction of fatty acid oxidation. THR-β stimulation has been identified as a target for NASH on the basis of its potential to reduce hepatic steatosis and improve serum lipid parameters in NASH patients. For any THR agonist, a key concern is toxicity from excess systemic THR-α stimulation. TERN-501 is 23-fold more selective for THR-β than for THR-α activation, thereby minimizing the risk of cardiotoxicity through THR-α stimulation. TERN-501 has high metabolic stability and a low projected clinical dose, which we believe makes it an attractive candidate for fixed-dose combination co-formulations. In January 2021, the FDA cleared our IND for TERN-501 and we announced the initiation of our Phase 1 first-in-human clinical trial in March 2021. We expect top-line data from this clinical trial in the second half of 2021.</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THR-β agonists for NASH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Thyroid hormone plays a central role in regulating metabolism, through its actions in multiple tissues, including fat, skeletal muscle, pancreas, and liver. THR-α and THR-β are nuclear receptors widely expressed in the body, but the two different isoforms are differentially expressed in different tissue types. THR-β is the major form of thyroid hormone receptor in the liver and regulates key aspects of energy metabolism, including fatty acid and lipid synthesis and removal of liver fat through induction of fatty acid oxidation. THR-α is the major form of thyroid hormone receptor in cardiac muscle, skeletal muscle and bone. Selective agonism of THR -β in the liver has been identified as a target for NASH and validated in clinical trials on the basis of its potential to improve hepatic steatosis and lipid profiles in NASH patients.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Clinical validation of THR</w:t>
      </w:r>
      <w:r>
        <w:rPr>
          <w:rFonts w:ascii="Times New Roman" w:hAnsi="Times New Roman"/>
          <w:b w:val="false"/>
          <w:i w:val="false"/>
          <w:caps w:val="false"/>
          <w:smallCaps w:val="false"/>
          <w:sz w:val="20"/>
        </w:rPr>
        <w:t>-β</w:t>
      </w:r>
      <w:r>
        <w:rPr>
          <w:rFonts w:ascii="Times New Roman" w:hAnsi="Times New Roman"/>
          <w:b w:val="false"/>
          <w:i/>
          <w:caps w:val="false"/>
          <w:smallCaps w:val="false"/>
          <w:sz w:val="20"/>
        </w:rPr>
        <w:t xml:space="preserve"> agonism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Data from other NASH clinical studies validate the potential of THR-β agonism as a NASH treatment (the data from other NASH clinical studies described in this paragraph are from Madrigal Pharmaceuticals, Inc.’s Phase 2 Study of MGL-3196 and Viking Therapeutics, Inc.’s Phase 2 Study of VK2809). In these clinical studies, two different THR-β agonists showed significant reductions in liver fat measured by MRI-PDFF, as well as reduction in lipid levels in serum, which may offer additional benefits to NASH patients who are at high risk of cardiovascular comorbidities. One of these clinical trials correlated reductions in liver fat measured by MRI-PDFF with histological responses including NAS reduction, NASH resolution and fibrosis resolution. These types of histological responses may be suitable for accelerated approval under current draft guidance from the FDA titled “Noncirrhotic Nonalcoholic Steatohepatitis With Liver Fibrosis: Developing Drugs for Treatment Guidance for Industry.”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Selectivity towards THR-β over THR-</w:t>
      </w:r>
      <w:r>
        <w:rPr>
          <w:rFonts w:ascii="Times New Roman" w:hAnsi="Times New Roman"/>
          <w:b w:val="false"/>
          <w:i w:val="false"/>
          <w:caps w:val="false"/>
          <w:smallCaps w:val="false"/>
          <w:sz w:val="20"/>
        </w:rPr>
        <w:t>α</w:t>
      </w:r>
      <w:r>
        <w:rPr>
          <w:rFonts w:ascii="Times New Roman" w:hAnsi="Times New Roman"/>
          <w:b/>
          <w:i w:val="false"/>
          <w:caps w:val="false"/>
          <w:smallCaps w:val="false"/>
          <w:sz w:val="20"/>
        </w:rPr>
        <w:t xml:space="preserve"> is key to modulating the metabolic activities in the liver without triggering the unwanted effects of thyroid hormone outside of the liver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829300" cy="2457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829300" cy="2457450"/>
                    </a:xfrm>
                    <a:prstGeom prst="rect">
                      <a:avLst/>
                    </a:prstGeom>
                  </pic:spPr>
                </pic:pic>
              </a:graphicData>
            </a:graphic>
          </wp:inline>
        </w:drawing>
      </w:r>
    </w:p>
    <w:p>
      <w:pPr>
        <w:pStyle w:val="TextBody"/>
        <w:spacing w:before="0" w:after="0"/>
        <w:jc w:val="both"/>
        <w:rPr/>
      </w:pPr>
      <w:r>
        <w:rPr/>
        <w:t> </w:t>
      </w:r>
    </w:p>
    <w:p>
      <w:pPr>
        <w:pStyle w:val="TextBody"/>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Limitations of THR-β targeting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THR agonists, a key safety concern is the potential for adverse effects from off-target thyroid hormone receptor stimulation that may stem from either lack of selectivity for THR-β or high variations in pharmacokinetics due to the lack of metabolic stability. Selectivity for THR-β over THR-α is key to modulating the metabolic activities in the liver without triggering the unwanted effects of THR-α activation outside of the liver. Stimulation of THR-α can adversely affect the cardiovascular and musculoskeletal system through increases in heart rate, cardiac arrhythmias, muscle wasting, and reduced bone mineral density. Therefore, the identification of a selective THR-β agonist particularly with enhanced liver distribution, would have the potential to improve hepatic steatosis and serum lipid profiles while potentially avoiding adverse effects of THR-α activation. However, the use of a liver-targeted pro-drug approach to overcome THR selectivity has not completely avoided cardiac adverse events in clinical trials.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THR-β selectivity, metabolic stability and predictable pharmacokinetics are important considerations in the development of thyroid hormone activators. In a Phase 2 clinical trial of another selective THR-β agonist, lack of metabolic stability resulted in significant inter-patient variability in drug exposure that required PK monitoring and dose adjustments. Dose adjustments in widespread clinical practice present potential challenges in terms of patient compliance, safety monitoring and additional burden on the healthcare system. Additionally, highly variable pharmacokinetics and unpredictable drug concentrations would hinder the potential for combination treatment in NASH patients.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Our solution for THR-</w:t>
      </w:r>
      <w:r>
        <w:rPr>
          <w:rFonts w:ascii="Times New Roman" w:hAnsi="Times New Roman"/>
          <w:b w:val="false"/>
          <w:i w:val="false"/>
          <w:caps w:val="false"/>
          <w:smallCaps w:val="false"/>
          <w:sz w:val="20"/>
        </w:rPr>
        <w:t>β</w:t>
      </w:r>
      <w:r>
        <w:rPr>
          <w:rFonts w:ascii="Times New Roman" w:hAnsi="Times New Roman"/>
          <w:b w:val="false"/>
          <w:i/>
          <w:caps w:val="false"/>
          <w:smallCaps w:val="false"/>
          <w:sz w:val="20"/>
        </w:rPr>
        <w:t xml:space="preserve"> agonism: high THR-</w:t>
      </w:r>
      <w:r>
        <w:rPr>
          <w:rFonts w:ascii="Times New Roman" w:hAnsi="Times New Roman"/>
          <w:b w:val="false"/>
          <w:i w:val="false"/>
          <w:caps w:val="false"/>
          <w:smallCaps w:val="false"/>
          <w:sz w:val="20"/>
        </w:rPr>
        <w:t>β</w:t>
      </w:r>
      <w:r>
        <w:rPr>
          <w:rFonts w:ascii="Times New Roman" w:hAnsi="Times New Roman"/>
          <w:b w:val="false"/>
          <w:i/>
          <w:caps w:val="false"/>
          <w:smallCaps w:val="false"/>
          <w:sz w:val="20"/>
        </w:rPr>
        <w:t xml:space="preserve">-selectivity and improved metabolic stability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TERN-501 was selected over other discovery candidates because of its high selectivity for THR-β over THR-α, its improved metabolic stability and its enhanced liver-distribution, all of which are characteristics that are intended to improve efficacy and safety in NASH patients. TERN-501 has a similar structural backbone to other THR-β agonists in late stage development that are selective for THR-β. Furthermore, the TERN-501 chemical structure incorporates certain changes designed to enhance metabolic and pharmacokinetic stability, thereby limiting the need for individualized dose adjustments implemented in studies with other THR-β agonists. In a head-to-head comparison, TERN-501 has shown a 23-fold selectivity for THR-β over THR-α stimulation in a cell-free assay, which is higher than the selectivity for two other THR agonists currently in development. TERN-501 is not a pro-drug and does not rely on the metabolic process to make it pharmacologically active. The following chart illustrates the selectivity of TERN-501 as compared to a reference drug and the active metabolite of a pro-drug in clinical development for NASH.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TERN-501 demonstrates higher selectivity for THR-</w:t>
      </w:r>
      <w:r>
        <w:rPr>
          <w:rFonts w:ascii="Times New Roman" w:hAnsi="Times New Roman"/>
          <w:b w:val="false"/>
          <w:i w:val="false"/>
          <w:caps w:val="false"/>
          <w:smallCaps w:val="false"/>
          <w:sz w:val="20"/>
        </w:rPr>
        <w:t>β</w:t>
      </w:r>
      <w:r>
        <w:rPr>
          <w:rFonts w:ascii="Times New Roman" w:hAnsi="Times New Roman"/>
          <w:b/>
          <w:i w:val="false"/>
          <w:caps w:val="false"/>
          <w:smallCaps w:val="false"/>
          <w:sz w:val="20"/>
        </w:rPr>
        <w:t xml:space="preserve"> over THR-</w:t>
      </w:r>
      <w:r>
        <w:rPr>
          <w:rFonts w:ascii="Times New Roman" w:hAnsi="Times New Roman"/>
          <w:b w:val="false"/>
          <w:i w:val="false"/>
          <w:caps w:val="false"/>
          <w:smallCaps w:val="false"/>
          <w:sz w:val="20"/>
        </w:rPr>
        <w:t>α</w:t>
      </w:r>
      <w:r>
        <w:rPr>
          <w:rFonts w:ascii="Times New Roman" w:hAnsi="Times New Roman"/>
          <w:b/>
          <w:i w:val="false"/>
          <w:caps w:val="false"/>
          <w:smallCaps w:val="false"/>
          <w:sz w:val="20"/>
        </w:rPr>
        <w:t xml:space="preserve">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724525" cy="2609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24525" cy="2609850"/>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Non-clinical tissue distribution studies show that TERN-501 demonstrates enhanced liver distribution relative to plasma and other organs. From non-clinical studies, TERN-501 is projected to have a predictable human PK profile due to its improved metabolic stability. Due to its metabolic stability, we believe that TERN-501 is unlikely to require PK monitoring and individualized clinical dose adjustment in NASH patients, as was done with another THR-β agonist in development that lacks metabolic stability and has variable PK in humans, thereby avoiding potential challenges associated with monitoring and dose adjustment in clinical practice, including patient compliance, safety monitoring and additional burden on the healthcare system. Further, TERN-501 is projected to have a low clinically efficacious dose range which, along with its metabolic stability, makes it attractive for long-term NASH treatment and for co-formulation as part of a fixed-dose combination.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Preclinical data for TERN-501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preclinical studies, TERN-501 showed potent activity in animal models of metabolic disease. TERN-501 produced rapid and significant reductions in serum lipids in an </w:t>
      </w:r>
      <w:r>
        <w:rPr>
          <w:rFonts w:ascii="Times New Roman" w:hAnsi="Times New Roman"/>
          <w:b w:val="false"/>
          <w:i/>
          <w:caps w:val="false"/>
          <w:smallCaps w:val="false"/>
          <w:sz w:val="20"/>
        </w:rPr>
        <w:t xml:space="preserve">in vivo </w:t>
      </w:r>
      <w:r>
        <w:rPr>
          <w:rFonts w:ascii="Times New Roman" w:hAnsi="Times New Roman"/>
          <w:b w:val="false"/>
          <w:i w:val="false"/>
          <w:caps w:val="false"/>
          <w:smallCaps w:val="false"/>
          <w:sz w:val="20"/>
        </w:rPr>
        <w:t xml:space="preserve">rat model; serum total cholesterol and triglycerides were significantly reduced up to 71% and 82%, respectively, 24 hours after a single intraperitoneal injection of TERN-501. In an </w:t>
      </w:r>
      <w:r>
        <w:rPr>
          <w:rFonts w:ascii="Times New Roman" w:hAnsi="Times New Roman"/>
          <w:b w:val="false"/>
          <w:i/>
          <w:caps w:val="false"/>
          <w:smallCaps w:val="false"/>
          <w:sz w:val="20"/>
        </w:rPr>
        <w:t>in vivo</w:t>
      </w:r>
      <w:r>
        <w:rPr>
          <w:rFonts w:ascii="Times New Roman" w:hAnsi="Times New Roman"/>
          <w:b w:val="false"/>
          <w:i w:val="false"/>
          <w:caps w:val="false"/>
          <w:smallCaps w:val="false"/>
          <w:sz w:val="20"/>
        </w:rPr>
        <w:t xml:space="preserve"> mouse NASH model, histological analysis showed that TERN-501 resolved liver steatosis to healthy control levels at all doses and led to a dose-dependent reduction in liver triglycerides and fibrosis. TERN-501 treatment of these mice also led to significant reductions in serum cholesterol, triglycerides and ALT.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graph below compares reductions in plasma cholesterol and plasma triglycerides in an </w:t>
      </w:r>
      <w:r>
        <w:rPr>
          <w:rFonts w:ascii="Times New Roman" w:hAnsi="Times New Roman"/>
          <w:b w:val="false"/>
          <w:i/>
          <w:caps w:val="false"/>
          <w:smallCaps w:val="false"/>
          <w:sz w:val="20"/>
        </w:rPr>
        <w:t>in vivo</w:t>
      </w:r>
      <w:r>
        <w:rPr>
          <w:rFonts w:ascii="Times New Roman" w:hAnsi="Times New Roman"/>
          <w:b w:val="false"/>
          <w:i w:val="false"/>
          <w:caps w:val="false"/>
          <w:smallCaps w:val="false"/>
          <w:sz w:val="20"/>
        </w:rPr>
        <w:t xml:space="preserve"> rat model following a single intraperitoneal administration of various doses of TERN-501 as compared to a reference compound in late-stage clinical development.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TERN-501 demonstrates dose-dependent reductions in serum total cholesterol and triglycerides in an </w:t>
      </w:r>
      <w:r>
        <w:rPr>
          <w:rFonts w:ascii="Times New Roman" w:hAnsi="Times New Roman"/>
          <w:b/>
          <w:i/>
          <w:caps w:val="false"/>
          <w:smallCaps w:val="false"/>
          <w:sz w:val="20"/>
        </w:rPr>
        <w:t>in vivo</w:t>
      </w:r>
      <w:r>
        <w:rPr>
          <w:rFonts w:ascii="Times New Roman" w:hAnsi="Times New Roman"/>
          <w:b/>
          <w:i w:val="false"/>
          <w:caps w:val="false"/>
          <w:smallCaps w:val="false"/>
          <w:sz w:val="20"/>
        </w:rPr>
        <w:t xml:space="preserve"> rodent model of hypercholesterolemia </w:t>
      </w:r>
    </w:p>
    <w:p>
      <w:pPr>
        <w:pStyle w:val="TextBody"/>
        <w:spacing w:before="0" w:after="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4552950" cy="2286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552950" cy="2286000"/>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graphs below demonstrate the histological improvement in an </w:t>
      </w:r>
      <w:r>
        <w:rPr>
          <w:rFonts w:ascii="Times New Roman" w:hAnsi="Times New Roman"/>
          <w:b w:val="false"/>
          <w:i/>
          <w:caps w:val="false"/>
          <w:smallCaps w:val="false"/>
          <w:sz w:val="20"/>
        </w:rPr>
        <w:t>in vivo</w:t>
      </w:r>
      <w:r>
        <w:rPr>
          <w:rFonts w:ascii="Times New Roman" w:hAnsi="Times New Roman"/>
          <w:b w:val="false"/>
          <w:i w:val="false"/>
          <w:caps w:val="false"/>
          <w:smallCaps w:val="false"/>
          <w:sz w:val="20"/>
        </w:rPr>
        <w:t xml:space="preserve"> mouse model of NASH following repeat administrations of various doses of TERN-501.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TERN-501 improves steatosis, inflammation and fibrosis in an </w:t>
      </w:r>
    </w:p>
    <w:p>
      <w:pPr>
        <w:pStyle w:val="TextBody"/>
        <w:spacing w:before="0" w:after="0"/>
        <w:jc w:val="center"/>
        <w:rPr>
          <w:rFonts w:ascii="Times New Roman" w:hAnsi="Times New Roman"/>
          <w:b/>
          <w:i/>
          <w:caps w:val="false"/>
          <w:smallCaps w:val="false"/>
          <w:sz w:val="20"/>
        </w:rPr>
      </w:pPr>
      <w:r>
        <w:rPr>
          <w:rFonts w:ascii="Times New Roman" w:hAnsi="Times New Roman"/>
          <w:b/>
          <w:i/>
          <w:caps w:val="false"/>
          <w:smallCaps w:val="false"/>
          <w:sz w:val="20"/>
        </w:rPr>
        <w:t xml:space="preserve">in vivo </w:t>
      </w:r>
      <w:r>
        <w:rPr>
          <w:rFonts w:ascii="Times New Roman" w:hAnsi="Times New Roman"/>
          <w:b/>
          <w:i w:val="false"/>
          <w:caps w:val="false"/>
          <w:smallCaps w:val="false"/>
          <w:sz w:val="20"/>
        </w:rPr>
        <w:t xml:space="preserve">mouse model of NASH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867400" cy="1371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867400" cy="1371600"/>
                    </a:xfrm>
                    <a:prstGeom prst="rect">
                      <a:avLst/>
                    </a:prstGeom>
                  </pic:spPr>
                </pic:pic>
              </a:graphicData>
            </a:graphic>
          </wp:inline>
        </w:drawing>
      </w:r>
    </w:p>
    <w:p>
      <w:pPr>
        <w:pStyle w:val="TextBody"/>
        <w:spacing w:before="0" w:after="0"/>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Figure: </w:t>
      </w:r>
      <w:r>
        <w:rPr>
          <w:rFonts w:ascii="Times New Roman" w:hAnsi="Times New Roman"/>
          <w:b w:val="false"/>
          <w:i/>
          <w:caps w:val="false"/>
          <w:smallCaps w:val="false"/>
          <w:sz w:val="20"/>
        </w:rPr>
        <w:t xml:space="preserve">Efficacy of TERN-501 in a mouse model of NASH. Liver steatosis, inflammation and fibrosis assessed by histological scoring in treated groups (n=8). Data for individual animals (dots) and mean (dashed line) are presented.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Phase 1 first-in-human clinical trial for TERN-501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March 2021, we announced the initiation of our Phase 1 first-in-human clinical trial of TERN-501. As a Phase 1 first-in-human clinical trial, the primary purpose of this trial is to address the safety of TERN-501. We expect to enroll approximately 90 participants in this trial. As with our other clinical programs, this Phase 1 clinical trial is planned to include single ascending dose and multiple ascending dose cohorts in which we intend to assess TERN-501 safety, tolerability and PK, as well as the reduction in serum lipid levels which could serve as an early marker of target engagement. As part of this Phase 1 clinical trial, we also intend to assess drug-drug interactions, including the co-administration of our liver-distributed FXR agonist (TERN-101) and our metabolically stable THR-beta agonist (TERN-501), two mechanisms that have shown additive or synergistic improvements on histological endpoints and serum lipid parameters in our preclinical NASH studies. We expect top-line data from our Phase 1 clinical trial in the second half of 2021. Following this Phase 1 clinical trial, we plan to conduct a Phase 2a clinical trial in NASH patients assessing TERN-501 administered as monotherapy and potentially co-administered with TERN-101.</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Combination Therapy Programs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Several prior clinical trials evaluating single-agent therapies for NASH have shown only moderate histological improvements and exhibited tolerability issues with some of these agents at high doses. We believe developing combination therapies targeting multiple mechanistic pathways will drive improved response rates for NASH patients while mitigating potential tolerability concerns and improving compliance as compared with monotherapy regimens. We are well-positioned to develop multiple combination therapies for NASH with our extensive experience in combination drug development and the ability to leverage from within our pipeline of wholly owned single-agents that we believe are attractive candidates for combination development. We are focused on developing combination therapies with clinically validated mechanisms of action to address the multifaceted nature of NASH. Given the strength of our internal resources and capabilities, we have the flexibility to independently advance our combination therapies without the need for a co-development partner at this time. We believe that therapies targeting steatosis (TERN-101 and TERN-501), inflammation (TERN-101 and TERN-201) and fibrosis (TERN-101 and TERN-201) in tandem, have the potential to provide greater resolution of NASH and improvement in related clinical outcomes.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Our combination approach: complementary mechanisms for the treatment of NASH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772150" cy="2647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2150" cy="2647950"/>
                    </a:xfrm>
                    <a:prstGeom prst="rect">
                      <a:avLst/>
                    </a:prstGeom>
                  </pic:spPr>
                </pic:pic>
              </a:graphicData>
            </a:graphic>
          </wp:inline>
        </w:drawing>
      </w:r>
    </w:p>
    <w:p>
      <w:pPr>
        <w:pStyle w:val="TextBody"/>
        <w:spacing w:before="0" w:after="0"/>
        <w:jc w:val="both"/>
        <w:rPr/>
      </w:pPr>
      <w:r>
        <w:rPr/>
        <w:t> </w:t>
      </w:r>
    </w:p>
    <w:p>
      <w:pPr>
        <w:pStyle w:val="TextBody"/>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Preclinical data for combination therapies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that a combination of TERN-101 and TERN-501 has the potential for improved therapeutic benefit for NASH patients. As a liver-distributed FXR agonist, TERN-101 is expected to have effects on multiple facets of NASH, including potential improvements in steatosis, inflammation and fibrosis. TERN-501 is a THR-β agonist that is expected to potently and rapidly reduce hepatic steatosis and normalize plasma lipid parameters through the modulation of metabolic pathways that are distinct from those modulated by liver FXR activation. A combination of TERN-101 and TERN-501 would therefore be expected to significantly reduce steatosis, inflammation and fibrosis in NASH patients through their complementary effects without the need to use maximal dose levels of either agent. The combination may also result in a positive serum lipid profile since TERN-501 is expected to reduce LDL cholesterol and triglyceride levels in NASH patients in whom FXR agonists have generally not demonstrated potentially therapeutic decreases in plasma cholesterol or triglycerides.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seen in the charts below, the combination of the FXR agonist TERN-101 and the THR-β agonist TERN-501 showed robust efficacy in an </w:t>
      </w:r>
      <w:r>
        <w:rPr>
          <w:rFonts w:ascii="Times New Roman" w:hAnsi="Times New Roman"/>
          <w:b w:val="false"/>
          <w:i/>
          <w:caps w:val="false"/>
          <w:smallCaps w:val="false"/>
          <w:sz w:val="20"/>
        </w:rPr>
        <w:t>in vivo</w:t>
      </w:r>
      <w:r>
        <w:rPr>
          <w:rFonts w:ascii="Times New Roman" w:hAnsi="Times New Roman"/>
          <w:b w:val="false"/>
          <w:i w:val="false"/>
          <w:caps w:val="false"/>
          <w:smallCaps w:val="false"/>
          <w:sz w:val="20"/>
        </w:rPr>
        <w:t xml:space="preserve"> mouse model of NASH by profoundly reducing steatosis and significantly improving fibrosis, serum triglycerides, serum total cholesterol and ALT. The combination treatment of TERN-101 and TERN-501 also resulted in the expression of more than 800 additional distinct genes as compared to either agent alone, supporting our hypothesis that additional biological processes are activated by combination treatment. Together these results suggest that the combination of the FXR agonist TERN-101 and the THR-β agonist TERN-501 may provide additional benefits for NASH patients than either treatment alone.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Combination of TERN-101 + TERN-501 demonstrates improvements in liver histology and serum biomarkers in an </w:t>
      </w:r>
      <w:r>
        <w:rPr>
          <w:rFonts w:ascii="Times New Roman" w:hAnsi="Times New Roman"/>
          <w:b/>
          <w:i/>
          <w:caps w:val="false"/>
          <w:smallCaps w:val="false"/>
          <w:sz w:val="20"/>
        </w:rPr>
        <w:t>in vivo</w:t>
      </w:r>
      <w:r>
        <w:rPr>
          <w:rFonts w:ascii="Times New Roman" w:hAnsi="Times New Roman"/>
          <w:b/>
          <w:i w:val="false"/>
          <w:caps w:val="false"/>
          <w:smallCaps w:val="false"/>
          <w:sz w:val="20"/>
        </w:rPr>
        <w:t xml:space="preserve"> NASH mouse model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429250" cy="4457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29250" cy="4457700"/>
                    </a:xfrm>
                    <a:prstGeom prst="rect">
                      <a:avLst/>
                    </a:prstGeom>
                  </pic:spPr>
                </pic:pic>
              </a:graphicData>
            </a:graphic>
          </wp:inline>
        </w:drawing>
      </w:r>
    </w:p>
    <w:p>
      <w:pPr>
        <w:pStyle w:val="TextBody"/>
        <w:spacing w:before="0" w:after="0"/>
        <w:jc w:val="both"/>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Figure: </w:t>
      </w:r>
      <w:r>
        <w:rPr>
          <w:rFonts w:ascii="Times New Roman" w:hAnsi="Times New Roman"/>
          <w:b w:val="false"/>
          <w:i/>
          <w:caps w:val="false"/>
          <w:smallCaps w:val="false"/>
          <w:sz w:val="20"/>
        </w:rPr>
        <w:t>Data from a NASH mouse model. TERN-101 dose 3 mg/kg; TERN-501 dose 1 mg/kg. Liver steatosis (upper left), inflammation (upper middle) and fibrosis (upper right) were quantified by histological analysis for</w:t>
      </w:r>
      <w:r>
        <w:rPr>
          <w:rFonts w:ascii="Times New Roman" w:hAnsi="Times New Roman"/>
          <w:b/>
          <w:i/>
          <w:caps w:val="false"/>
          <w:smallCaps w:val="false"/>
          <w:sz w:val="20"/>
        </w:rPr>
        <w:t xml:space="preserve"> </w:t>
      </w:r>
      <w:r>
        <w:rPr>
          <w:rFonts w:ascii="Times New Roman" w:hAnsi="Times New Roman"/>
          <w:b w:val="false"/>
          <w:i/>
          <w:caps w:val="false"/>
          <w:smallCaps w:val="false"/>
          <w:sz w:val="20"/>
        </w:rPr>
        <w:t>degree of steatosis, lobular inflammation, and fibrosis. Serum was collected at termination and analyzed for triglycerides, or TG (lower left), total cholesterol, or TC, (lower middle) and a biomarker of liver damage,</w:t>
      </w:r>
      <w:r>
        <w:rPr>
          <w:rFonts w:ascii="Times New Roman" w:hAnsi="Times New Roman"/>
          <w:b/>
          <w:i/>
          <w:caps w:val="false"/>
          <w:smallCaps w:val="false"/>
          <w:sz w:val="20"/>
        </w:rPr>
        <w:t xml:space="preserve"> </w:t>
      </w:r>
      <w:r>
        <w:rPr>
          <w:rFonts w:ascii="Times New Roman" w:hAnsi="Times New Roman"/>
          <w:b w:val="false"/>
          <w:i/>
          <w:caps w:val="false"/>
          <w:smallCaps w:val="false"/>
          <w:sz w:val="20"/>
        </w:rPr>
        <w:t>alanine aminotransferase, or ALT (lower right). Data for individual animals (dots) and mean (dashed line) are presented; **p &lt;0.01, ***p &lt;0.001, ****p &lt;0.</w:t>
      </w:r>
      <w:r>
        <w:rPr>
          <w:rFonts w:ascii="Times New Roman" w:hAnsi="Times New Roman"/>
          <w:b/>
          <w:i/>
          <w:caps w:val="false"/>
          <w:smallCaps w:val="false"/>
          <w:sz w:val="20"/>
        </w:rPr>
        <w:t xml:space="preserv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also evaluating the potential to combine our VAP-1 inhibitor, TERN-201, with a metabolically active NASH treatment. We believe the anti-inflammatory and anti-fibrotic effects, sustained target engagement, VAP-1 selectivity and anticipated low therapeutic dose of TERN-201 make it suitable for co-administration with therapies directed at steatosis and other metabolic processes involved in NASH. For example, the combination of our FXR agonist TERN-101 and TERN-201 demonstrated histological improvements in inflammation and GGT, an inflammation biomarker, in an </w:t>
      </w:r>
      <w:r>
        <w:rPr>
          <w:rFonts w:ascii="Times New Roman" w:hAnsi="Times New Roman"/>
          <w:b w:val="false"/>
          <w:i/>
          <w:caps w:val="false"/>
          <w:smallCaps w:val="false"/>
          <w:sz w:val="20"/>
        </w:rPr>
        <w:t>in vivo</w:t>
      </w:r>
      <w:r>
        <w:rPr>
          <w:rFonts w:ascii="Times New Roman" w:hAnsi="Times New Roman"/>
          <w:b w:val="false"/>
          <w:i w:val="false"/>
          <w:caps w:val="false"/>
          <w:smallCaps w:val="false"/>
          <w:sz w:val="20"/>
        </w:rPr>
        <w:t xml:space="preserve"> rodent model of NASH.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Clinical development plan for NASH combination of TERN-101 and TERN-501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approach for developing a differentiated NASH combination regimen is to discover and develop promising drug candidates targeting clinically validated mechanisms of action, advance them first as monotherapies to evaluate safety and pharmacokinetics in healthy volunteers and subsequently conduct Phase 1b or 2a trials to assess safety in NASH patients and potentially efficacious dose ranges using known non-invasive biomarkers of efficacy for these mechanisms of action. Subsequently, we intend to proceed to Phase 2a studies with the coadministration of two or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 complimentary mechanisms of action—such as the FXR agonist TERN-101 and the THR-β agonist TERN-501—to assess the potential for combinations to generate additive or synergistic effects on these same non-invasive biomarkers relative to monotherapy and inform dose selection for later phase studies of the agents in combination. We then plan to proceed to longer duration Phase 2b and Phase 3 trials that can evaluate our individual monotherapies as well as promising combinations within the same trials to confirm treatment effects using liver biopsy and histological markers of efficacy. We believe this approach maximizes the chance of achieving higher NASH response rates compared to treatment approaches that rely exclusively on single-agent therapeutics and creates efficiencies through the evaluation of our individual monotherapies and combination treatments, allowing us to proceed to marketing authorization applications for those single-agent drug candidates and combination therapies that offer the clearest advantages to patients. The following graphic illustrates our potential combination development plan. </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5867400" cy="27241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867400" cy="2724150"/>
                    </a:xfrm>
                    <a:prstGeom prst="rect">
                      <a:avLst/>
                    </a:prstGeom>
                  </pic:spPr>
                </pic:pic>
              </a:graphicData>
            </a:graphic>
          </wp:inline>
        </w:drawing>
      </w:r>
    </w:p>
    <w:p>
      <w:pPr>
        <w:pStyle w:val="TextBody"/>
        <w:spacing w:before="0" w:after="0"/>
        <w:jc w:val="both"/>
        <w:rPr/>
      </w:pPr>
      <w:r>
        <w:rPr/>
        <w:t> </w:t>
      </w:r>
    </w:p>
    <w:p>
      <w:pPr>
        <w:pStyle w:val="TextBody"/>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Preclinical Pipeline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small-molecule glucagon-like peptide-1 receptor, or GLP-1R, agonist program is intended to address metabolic processes involved in the pathogenesis of NAFLD and NASH. The natural endogenous ligand, glucagon-like peptide-1, or GLP-1, promotes insulin secretion from pancreatic β-cells in a glucose-dependent-manner following food ingestion. Activation of the GLP-1 pathway has shown to be effective in driving NASH resolution in studies of available GLP-1 agonists currently approved for the treatment of diabetes. However, these approved agents are synthetic peptides and potentially require higher doses more frequent subcutaneous injections for the potential treatment of NASH. This injectable route of administration is likely to limit their use in NASH patients, particularly if efficacious oral NASH treatments become available. Although an oral GLP-1 peptide formulation is available for the treatment of Type 2 diabetes, it requires high doses, is associated with adverse effects and lacks NASH efficacy data. A non-peptidic small-molecule oral GLP-1 receptor agonist may offer advantages over currently available peptide GLP-1R agonists that have been studied for the treatment of NASH.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GLP-1R program has identified several potentially suitable small-molecule scaffolds. We plan to further optimize these series of compounds and identify structures that have the potential for once daily oral administration and a profile suitable for combination with other NASH drugs within our pipeline. We aim to nominate a final candidate for further development in the second half of 2021.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Manufacturing and supply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own or operate manufacturing facilities for the production of any of our drug candidates, nor do we have plans to develop our own manufacturing operations in the foreseeable future. We currently rely, and expect to continue to rely, on third-party contract manufacturers for manufacturing all our drug candidates for preclinical research and clinical trials. We do not have long-term agreements with any of these third parties.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our drug candidates are approved by any regulatory agency, we intend to enter into agreements with a third-party contract manufacturer and one or more back-up manufacturers for the commercial production of those drugs. Development and commercial quantities of any drugs that we develop will need to be manufactured in facilities, and by processes, that comply with the requirements of the FDA and the regulatory agencies of other jurisdictions in which we are seeking approval.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Sales and Marketing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Given our stage of development, we have not yet established a commercial organization. We intend to establish a targeted commercial infrastructure in key geographies at the appropriate time prior to regulatory approval of our single-agent drugs and fixed-dose combination therapies. We expect to manage sales, marketing and distribution through internal resources and third-party relationships.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will opportunistically explore commercialization partnerships in territories outside the United States. As our drug candidates progress through our pipeline, our commercial plans may change. Clinical data, the size of the development programs, the size of our target markets, the size of a commercial infrastructure and manufacturing needs may all influence our commercialization strategies.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Competition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biotechnology industry is intensely competitive and subject to rapid and significant technological change. We believe that our pipeline, development experience, and scientific knowledge provide us with competitive advantages. However, we face potential worldwide competition from many different sources, including large multinational pharmaceutical companies, established biotechnology companies, and smaller or earlier stage biotechnology companies. In addition, academic institutions, government agencies and other public and private organizations conducting research may seek patent protection with respect to potentially competitive products or technologies. Given the high incidence of NASH, it is likely that the number of companies seeking to develop products and therapies for the treatment of liver and cardio-metabolic diseases, including NASH, will increase. Most of our competitors are focused on single-agent product candidates; there are fewer competitors, of which we are aware, who are developing combination therapies for the treatment of NASH.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aware of both pharmaceutical and biotechnology companies with development programs in NASH. Large pharmaceutical companies participating in the development of NASH treatments include, but are not limited to, AbbVie, Inc., Amgen Inc., AstraZeneca PLC/MedImmune LLC, Bayer AG, Boehringer Ingelheim, Bristol-Myers Squibb Company, Eisai, Inc., Eli Lilly and Company, Gilead Sciences, Inc., GlaxoSmithKline plc, Johnson &amp; Johnson, Merck &amp; Co., Inc., Novartis Pharmaceuticals Corp., Novo Nordisk A/S, Pfizer Inc., Roche Holding AG, Sanofi, Sumitomo Dainippon Pharma Co., Ltd. and Takeda Pharmaceutical Co., Ltd.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relation to TERN-101, companies who are currently conducting clinical trials with FXR in the context of NASH include AbbVie, Inc., Enanta Pharmaceuticals, Inc., ENYO Pharma SA, Gilead Sciences, Inc., Intercept Pharmaceuticals, Inc., Metacrine, Inc. and Novartis Pharmaceuticals Corp.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TERN-201, our VAP-1 inhibitor, is a relatively novel mechanism for the treatment of NASH, and thus has little competition we are aware of. The companies who are currently developing a SSAO/VAP-1 inhibitor with NASH as a lead indication are LG Chem Ltd. and Novo Nordisk A/S.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 regards to TERN-501, companies who are currently conducting clinical trials targeting THR-β in the context of NASH include Ascletis Pharma Inc., Madrigal Pharmaceuticals, Inc. and Viking Therapeutics, Inc.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pharmaceutical and biotechnology companies who are developing clinical-stage drugs to treat NASH, using mechanisms not mentioned above, include 89Bio, Inc., Akero Therapeutics, Inc., Arrowhead Pharmaceuticals, Inc., Axcella Health, Inc., Carmot Therapeutics, Inc., Cirius Therapeutics, Inc., CohBar, Inc., Coherus Biosciences Inc., Corcept Therapeutics, Inc., CymaBay Therapeutics, Inc., Esperion Therapeutics, Inc., Galectin Therapeutics Inc., Galmed Pharmaceuticals Ltd., Hanmi Pharmaceutical Co., Ltd., Inventiva Pharma SA,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Ionis Pharmaceuticals, Inc., MediciNova, Inc., NGM Biopharmaceuticals, Inc., NorthSea Therapeutics, Inc., Pliant Therapeutics, Inc., Poxel SA, Sagimet Biosciences, Inc., T3D Therapeutics, Inc. and Zydus Cadila Healthcare.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we believe our drug and combination therapy candidate programs possess appealing attributes, we cannot guarantee that our products will achieve regulatory or market success. Our competitors may obtain regulatory approval of their products more rapidly than we do, or obtain patent protection or other intellectual property rights that limit our ability to develop or commercialize our drug candidate or any future drug candidates. Our competitors may also develop drugs that are more effective, more convenient, more widely used, and less costly, or have a better tolerability profile than our drugs. These competitors may also be more successful than we are in manufacturing and marketing their products. Should we not be able to compete with the aforementioned companies or others, it may hinder our ability to bring our product to market as planned.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Intellectual Property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proprietary nature of, and protection for, our drug candidates and our discovery programs, processes and know-how are important to our business. For our patent portfolio for pipeline drug candidates, we seek to pursue patent protection covering compositions of matter and methods of use and manufacture. Our policy is to pursue, maintain, defend and enforce patent rights in strategic areas, whether developed internally or licensed from third parties, and to protect the technology, inventions and improvements that are commercially important to the development of our business. We also rely on trade secrets, confidential information and other proprietary know-how that may be important to the development of our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15, 2021, our owned and exclusively licensed patent portfolio includes: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For TERN-101, our FXR agonist, we own five patent families and exclusively license from Eli Lilly and Company, or Eli Lilly, two patent families, which collectively are directed to composition-of-matter coverage of TERN-101, its formulations, and its methods of use (including combination therapy) in the treatment of certain liver, metabolic and other diseases and conditions. The composition-of-matter patent family includes one issued U.S. patent and over 35 granted foreign patents. The issued U.S. patent in the composition-of-matter patent family is projected to expire, inclusive of patent term adjustment, in 2029, not including any patent term extensions that may be available. Corresponding foreign patents are generally projected to expire in 2028, not including any patent term extensions that may be available. For more information regarding this exclusive license agreement with Eli Lilly, please see “—Licensing and Other Intellectual Property-Related Agreements.”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For TERN-201, our VAP-1 inhibitor, we own two patent families and exclusively license from Eli Lilly two patent families, which collectively are directed to composition-of-matter coverage of TERN-201 and its methods of use (including combination therapy) in the treatment of certain liver, metabolic and other diseases and conditions. The composition-of-matter patent family includes three issued U.S. patents and 25 pending patent applications in foreign jurisdictions, including Australia, Brazil, Canada, China, the EPO, India, Japan and Korea. The patents in this patent family and any patents issuing from patent applications therein are projected to expire in 2036, not including any patent term extensions that may be available. For more information regarding this exclusive license agreement with Eli Lilly, please see “—Licensing and Other Intellectual Property-Related Agreements.”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do not currently own or have a license to any issued patent with claims directed to TERN-501, our THR-β agonist. However, we own two patent families with applications collectively directed to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composition-of-matter coverage of TERN-501 and its methods of use (including combination therapy) in the treatment of various diseases, including certain liver, metabolic and other diseases and conditions. The composition-of-matter patent family is being pursued in the United States and in certain foreign jurisdictions, including under the Patent Cooperation Treaty. Any patents that may issue from applications in the composition-of-matter patent family are generally projected to expire in 2039, not including any patent term adjustments and any patent term extensions that may be available.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For TRN-000632, our small-molecule allosteric inhibitor of the BCR-ABL fusion gene, we own one patent family directed to composition-of-matter coverage of TRN-000632 and its methods of use in the treatment of leukemia and other diseases and conditions. The patent family includes one issued U.S. patent and is being pursued in the U.S. and in certain foreign jurisdictions, including under the Patent Cooperation Treaty. Any patents that may issue from applications in the patent family are generally projected to expire in 2039, not including any patent term adjustments and any patent term extensions that may be available. This patent family is subject to an exclusive option and license agreement for the greater China region with Hansoh (Shanghai) Healthtech Co., Ltd. and Jiangsu Hansoh Pharmaceutical Group Company Ltd., or collectively, Hansoh. For more information regarding this exclusive option and license agreement with Hansoh, please see “—Licensing and Other Intellectual Property-Related Agreements.”</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commercial success will depend in part on obtaining and maintaining patent protection of our current and future drug candidates, as well as successfully defending these patents against third-party challenges. Our ability to stop third parties from making, using, selling, offering to sell or importing our drugs depends in large part on the extent to which we have rights under valid and enforceable patents that cover these activities. We cannot be sure that patents will be granted with respect to any of our owned or licensed pending patent applications or with respect to any patent applications filed or licensed by us in the future, nor can we be sure that any patents that may be granted to, or licensed by, us in the future will be commercially useful in protecting our drug candidates, discovery programs and processes. Moreover, we cannot be sure that any of our owned or licensed patents will not be challenged, invalidated or circumvented or that such patents will be commercially useful in protecting our technology.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the patent term of a patent that covers an FDA-approved drug, in certain cases, may also be eligible for patent term extension, which permits patent term extension as compensation for the patent term lost during the FDA regulatory review process. The Drug Price Competition and Patent Term Restoration Act of 1984 permits such patent term extension of up to five years beyond the expiration of the patent, but patent term extension cannot extend the remaining term of a patent beyond a total of 14 years from the date of product approval. Only one patent among those eligible for an extension may be extended and the amount of available extension to any extension-eligible patent which claims a product, a method of using a product or a method of manufacturing a product, depends on a variety of factors, including the date on which the patent issues and certain dates related to the regulatory review period. Provisions are available in Europe and some other foreign jurisdictions to extend the term of a patent that covers an approved drug. In the future, if and when our drugs receive FDA or analogous foreign approval, we expect to apply for patent term extensions on patents covering those drugs from the applicable authorities where patent term extension is available, including the United States Patent and Trademark Office, or USPTO. There is no guarantee that the applicable authorities, including the USPTO, will agree with our assessment of whether such extensions should be granted, and if granted, the length of such extensions.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of our business that is not amenable to, or that we do not consider appropriate for, patent protection. We take steps to protect our proprietary information, including trade secrets and unpatented know-how, by entering into confidentiality agreements with third parties, and confidential information and inventions agreements with employees, consultants and advisors. However, we cannot provide any assurances that all such agreements have been duly executed, and any of these parties may breach the agreements and disclose our proprietary information, including our trade secrets and unpatented know-how,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third parties may still obtain this proprietary information or may come upon this or similar information independently, and we would have no right to prevent them from using that information to compete with us. If any of these events occurs or if we otherwise lose protection for our trade secrets and know how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 positions of biotechnology companies like ours are generally uncertain and involve complex legal, scientific and factual questions. Our commercial success will also depend in part on not infringing upon the proprietary rights of third parties. It is uncertain whether the issuance of any third-party patent or other intellectual property or other proprietary right would require us to alter our development or commercial strategies, or any of our drug candidates or processes, obtain licenses or cease certain activities. Our breach of any license agreements or our failure to obtain a license to proprietary rights required to develop or commercialize our future drugs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regarding the risks related to intellectual property, please see Item 1A. “Risk Factors—Risks Related to Intellectual Property.”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Licensing and Other Intellectual Property-Related Agreements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TERN-101 License Agreement with Eli Lilly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February 2018, we entered into an exclusive license agreement with Eli Lilly, or the TERN-101 License Agreement, pursuant to which we have been granted an exclusive, worldwide, sublicensable (subject to certain conditions), royalty-bearing license under certain intellectual property rights, including patents applications filed in both the United States and foreign jurisdictions claiming the composition of the compound Eli Lilly has designated as LY2562175 and methods of using the same and certain know-how related to the manufacture of LY2562175 owned or controlled by Eli Lilly to develop, manufacture and commercialize therapeutic products containing LY2562175, or TERN-101 Products, for all uses and indications in humans. Eli Lilly also has the right, on a country-by-country and TERN-101 Product-by-TERN-101 Product basis, to negotiate an agreement governing the co-promotion of TERN-101 Products if we, or our sublicensees, decide to commercialize a TERN-101 Product in the People’s Republic of China, Hong Kong, Macau or Taiwan.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terms of the TERN-101 License Agreement, we must use commercially reasonable efforts to develop, manufacture, apply for regulatory approval of and commercialize TERN-101 Products in the People’s Republic of China. In addition, Eli Lilly provided us, at its expense, certain support in connection with the transfer of the licensed materials.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consideration for the exclusive license, we are required to pay Eli Lilly up to an aggregate of $56 million upon the achievement of pre-specified clinical, regulatory and commercial milestone events for TERN-101 Products; no such milestones have been achieved to date under the TERN-101 License Agreement.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also required to pay tiered royalties calculated on a calendar year basis, ranging from mid-single digit to mid teen percentages, on net sales of TERN-101 Products. The royalty rate is subject to customary reductions, including reductions based on certain generic competition to a TERN-101 Product or amounts paid to any third party under a necessary license to such third party’s patent rights in order to develop, manufacture, commercialize or use a TERN-101 Product. The royalty term will terminate on a country-by-country, TERN-101 Product-by-TERN-101 Product basis on the later of (i) the expiration date of the last valid claim within the licensed patent rights infringed by the sale of such TERN-101 Product in such country, (ii) the loss of regulatory exclusivity for such TERN-101 Product in such country, and (iii) the tenth anniversary of the first commercial sale of such TERN-101 Product in such country.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intellectual property or inventions developed solely by either party in connection with activities conducted pursuant to the TERN-101 License Agreement shall be owned solely by that party, and any jointly-developed intellectual property or inventions shall be jointly owned (although no joint development activities are anticipated). We have the first right to prosecute, maintain, defend and enforce certain patents licensed under the TERN-101 License Agreement, including any patents that are solely and directly related to LY2562175 or TERN-101 Products.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TERN-101 License Agreement shall expire upon the expiration of the last-to-expire royalty term for the TERN-101 Products on a country-by-country basis. Upon expiration of the TERN-101 License Agreement, the license granted to us shall be considered fully paid-up, irrevocable, perpetual and non-exclusive. Either we or Eli Lilly may terminate the TERN-101 License Agreement if the other party commits a material breach of the agreement or defaults in the performance thereunder and fails to cure that breach within 90 days after written notice is provided, or in the event of insolvency of the other party. We may terminate the TERN-101 License Agreement in its entirety or on a country-by-country and TERN-101 Product-by-TERN-101 Product basis upon 180 days’ prior written notice. Eli Lilly may terminate the TERN-101 License Agreement if we, our affiliates or our sublicensees challenge the licensed patents or if we assist any third party in challenging such patents.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TERN-201 License Agreement with Eli Lilly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2018, we entered into an exclusive license agreement with Eli Lilly, or the TERN-201 License Agreement, pursuant to which we have been granted an exclusive, worldwide, sublicensable (subject to certain conditions), royalty-bearing license under certain intellectual property rights, including patents applications filed in both the United States and foreign jurisdictions claiming the composition of the compound Eli Lilly has designated as LY3379274, and methods of using the same and certain know-how related to the manufacture of LY3379274 owned or controlled by Eli Lilly to develop, manufacture, and commercialize therapeutic products containing LY3379274, or TERN-201 Products, for all uses and indications in humans. Eli Lilly has a right of first negotiation to negotiate an agreement covering the commercialization of any TERN-201 Product before we negotiate the same with a third party. Eli Lilly also has the right, on a country-by-country and TERN-201 Product-by- TERN-201 Product basis, to negotiate an agreement governing the co-promotion of TERN-201 Products if we, or our sublicensees, decide to commercialize a TERN-201 Product in the People’s Republic of China, Hong Kong, Macau or Taiwan.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terms of the TERN-201 License Agreement, we must use commercially reasonable efforts to develop, manufacture, apply for regulatory approval of and commercialize TERN-201 Products in the People’s Republic of China, the United States, Japan, France, Germany, Italy, Spain and the United Kingdom. In addition, Eli Lilly provided us, at its expense, certain support in connection with the transfer of the licensed materials.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initial consideration for the license under the TERN-201 License Agreement, we paid Eli Lilly a non-refundable, upfront payment of $4 million. As additional consideration for the exclusive license, we are required to pay Eli Lilly up to an aggregate of $104 million upon the achievement of specified clinical and regulatory milestone events for TERN-201 Products. No development milestones have been achieved to date under the TERN-201 License Agreement.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also required to pay tiered royalties, ranging from mid-single digit to mid-teen percentages, on annual net sales of TERN-201 Products. The royalty rate is subject to customary reductions, including reductions based on certain generic competition to a TERN-201 Product or amounts paid to any third party under a necessary license to such third party’s patent rights in order to develop, manufacture, commercialize or use a TERN-201 Product. The royalty term will terminate on a country-by-country, TERN-201 Product-by-TERN-201 Product basis on the later of (i) the expiration date of the last valid claim within the licensed patent rights infringed by the sale of such TERN-201 Product in such country, (ii) the loss of regulatory exclusivity for such TERN-201 Product in such country, and (iii) the tenth anniversary of the first commercial sale of such TERN-201 Product in such country.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intellectual property or inventions developed solely by either party in connection with activities conducted pursuant to the TERN-201 License Agreement shall be owned solely by that party, and any jointly-developed intellectual property or inventions shall be jointly owned (although no joint development activities are anticipated). We have the first right to prosecute, maintain, defend and enforce certain patents licensed under the TERN-201 License Agreement, including any patents that are solely and directly related to LY3379274 or TERN-201 Products.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TERN-201 License Agreement shall expire upon the expiration of the last-to-expire royalty term for the TERN-201 Products on a country-by-country basis. Upon expiration of the TERN-201 License Agreement, the license granted to us shall be considered fully paid-up, irrevocable, perpetual and non-exclusive. Either we or Eli Lilly may terminate the TERN-201 License Agreement if the other party commits a material breach of the agreement or defaults in the performance thereunder and fails to cure that breach within 90 days after written notice is provided, or in the event of insolvency of the other party. We may terminate the TERN-201 License Agreement in its entirety or on 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country-by-country and TERN-201 Product-by-TERN-201 Product basis upon 180 days prior written notice. Eli Lilly may terminate the TERN-201 License Agreement if we, our affiliates or our sublicensees challenge the licensed patents or if we assist any third party in challenging such patents.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THR-</w:t>
      </w:r>
      <w:r>
        <w:rPr>
          <w:rFonts w:ascii="Times New Roman" w:hAnsi="Times New Roman"/>
          <w:b w:val="false"/>
          <w:i w:val="false"/>
          <w:caps w:val="false"/>
          <w:smallCaps w:val="false"/>
          <w:sz w:val="20"/>
        </w:rPr>
        <w:t>β</w:t>
      </w:r>
      <w:r>
        <w:rPr>
          <w:rFonts w:ascii="Times New Roman" w:hAnsi="Times New Roman"/>
          <w:b w:val="false"/>
          <w:i/>
          <w:caps w:val="false"/>
          <w:smallCaps w:val="false"/>
          <w:sz w:val="20"/>
        </w:rPr>
        <w:t xml:space="preserve"> Agonist Assignment Agreement with Vintagence Biotechnology Ltd.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June 2019, we entered into an assignment agreement with Vintagence Biotechnology Ltd., or Vintagence, pursuant to which Vintagence assigned to us certain worldwide intellectual property rights that are directed to THR-β agonists. In particular, we have been assigned a Chinese patent application and potentially certain other patents or patent applications and know-how relating to our THR-β program. We are also entitled to license the rights granted to us under the assignment agreement. Pursuant to the terms of the assignment agreement, we must use commercially reasonable efforts to develop and commercialize a product based on the assigned intellectual property in each of several major market territories.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term of the assignment agreement, Vintagence may not develop, manufacture, commercialize or otherwise exploit any compound covered by any of the assigned patent rights. In the event Vintagence develops a THR-β agonist not covered by the assigned patent rights, we will have the first right to negotiate an assignment or license to exclusively develop, manufacture, commercialize or otherwise exploit such agonist.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initial consideration for the assignment, we paid Vintagence an upfront payment of CNY 5 million (approximately $0.75 million). As additional consideration, we are required to pay Vintagence up to an aggregate CNY 205 million (approximately $30 million) upon the achievement of specified developmental, clinical and regulatory milestone events with respect to products covered by the agreement.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the sole responsibility and decision-making authority to prosecute the assigned patents. However, if we decline to pay the prosecution costs for any assigned patent, Vintagence shall have the right to prosecute such assigned patent, and we must assign such assigned patent back to Vintagence. We also have the first right to enforce the assigned patents and know-how. If we do not bring an action to enforce any of the assigned patents or know-how against infringing activities, Vintagence has the right to bring such an action.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assignment agreement will continue on a country-by-country basis until we have paid all milestone payments. We may terminate the assignment agreement in its entirety or on a covered product-by-covered product and country-by-country basis without cause with 60 days’ prior written notice. Either party may terminate the assignment agreement for the other party’s material breach that remains uncured for 90 days or for the other party’s insolvency. If we terminate the assignment agreement without cause or if Vintagence terminates the assignment agreement for our uncured material breach, we must transfer the assigned intellectual property back to Vintagence.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TRN-000632 Exclusive Option and License agreement with Hansoh Pharmaceuticals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2020, we, along with our subsidiaries, CaspianTern LLC and Terns, Inc., entered into an exclusive option and license agreement with Hansoh pursuant to which we have granted an exclusive option, exercisable during a specified period, to Hansoh to obtain an exclusive, royalty-bearing license under certain patent and other intellectual property rights owned or controlled by us, including patents claiming the composition of TRN-000632, our small-molecule allosteric inhibitor of the BCR-ABL fusion gene, and methods of using the same, to research, develop, manufacture, use, distribute, sell and otherwise exploit therapeutic products containing TRN-000632, or Hansoh Products, for all prophylactic, palliative, therapeutic and/or diagnostic uses in human diseases and disorders in the field of oncology in mainland China, Taiwan, Hong Kong, and Macau, or the Hansoh Territory. Notwithstanding the foregoing, we would retain co-exclusive rights under certain know-how licensed to Hansoh and all rights under the patent rights outside of the field of oncology and Hansoh Territory. If Hansoh exercises its option and at our request, the parties will enter into a manufacturing and technology transfer agreement under which Hansoh will provide technical assistance and support related to the manufacture of Hansoh Products containing TRN-000632 as the sole active ingredient, at our cost. Pursuant to the terms of the option and license agreement, upon Hansoh’s exercise of its option, Hansoh must use commercially reasonable efforts to develop and commercialize a Hansoh Product in the Hansoh Territory and Hansoh may not exploit any other product in the Hansoh Territory with the same primary mechanism of action as the Hansoh Products.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consideration for the exclusive option, we received an upfront, refundable (if Hansoh does not exercise the option) payment of $1 million. Under the license, if Hansoh exercises its option, Hansoh has agreed to pay us up to an aggregate $67.0 million upon the achievement of pre-specified clinical, regulatory and sales milestones with respect to the Hansoh Products. No such milestones have been achieved to date under this option and license agreement. Hansoh must also pay us royalties of a mid-single digit percentage on net sales of all Hansoh Products. The royalty rate is subject to customary reductions, including reductions based on generic competition to the Hansoh Products or royalties paid to any third party under a license to such third party’s patent rights necessary in order to commercialize a Hansoh Product. The royalty term will terminate on a Hansoh Product-by-Hansoh Product and country-by-country basis on the later of (i) the expiration date of the last valid claim within the licensed patent rights covering such Hansoh Product in such country, (ii) the loss of regulatory exclusivity for such Hansoh Product in such country, and (iii) the tenth anniversary of the first commercial sale of such Hansoh Product in such country.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Upon the effectiveness of the license, intellectual property developed out of the activities under this option and license agreement, and that is necessary or useful to exploit TRN-000632 or Hansoh Products, solely developed by one party shall be owned by that party, and jointly-developed intellectual property shall be jointly-owned. Hansoh will have the first right to prosecute, maintain, defend and enforce the licensed patent rights in the Hansoh Territory.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Hansoh’s right to exercise the option shall expire upon the earlier of 30 days after certain studies are completed or 16 months from the effective date of the option and license agreement. Hansoh can terminate its option at any time. If Hansoh exercises its option, the option and license agreement shall expire upon the expiration of the last-to-expire royalty term for the Hansoh Products in the Hansoh Territory. Upon expiration of the option and license agreement, the license under our know-how granted to Hansoh shall be considered fully paid-up, perpetual and co-exclusive. Either we or Hansoh may terminate the option and license agreement if the other party commits a material breach of the agreement and fails to cure that breach within 90 days after written notice is provided, or in the event of insolvency of the other party. Hansoh may terminate the option and license agreement upon 180 days’ prior written notice if the option has been exercised. Hansoh may also terminate the option and license agreement upon 60 days’ prior written notice if we undergo certain change of control events. If Hansoh terminates the option and license agreement upon such change of control events, we must assign our entire right, title and interest in and to the Hansoh Products, including all intellectual property rights therein, in the Hansoh Territory to Hansoh and Hansoh shall provide us the fair market value of such assignment.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Government Regulation and Product Approval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Among others, the FDA, the European Medicines Agency, or EMA, U.S. Department of Health and Human Services Office of Inspector General, the Centers for Medicare and Medicaid Services, or CMS, and comparable regulatory authorities in state and local jurisdictions and in other countries impose substantial and burdensome requirements 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drug and combination therapy candidates. Any drug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or EU, are addressed in a centralized way, but country-specific regulation remains essential in many respects.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U.S. Drug Development Process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distribution, injunctions, fines, refusals of government contracts, restitution, disgorgement or civil or criminal penalties.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process required by the FDA before a drug may be marketed in the United States generally involves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completion of preclinical laboratory tests, animal studies and formulation studies in accordance with FDA’s good laboratory practice requirements and other applicable regulations;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submission to the FDA of an investigational new drug application, or IND, which must become effective before human clinical trials may begin;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approval by an independent institutional review board, or IRB, or ethics committee at each clinical site before each trial may be initiated;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performance of adequate and well-controlled human clinical trials in accordance with good clinical practice, or GCP, requirements to establish the safety and efficacy of the proposed drug for its intended use; </w:t>
            </w:r>
          </w:p>
        </w:tc>
      </w:tr>
    </w:tbl>
    <w:tbl>
      <w:tblPr>
        <w:tblW w:w="7930" w:type="dxa"/>
        <w:jc w:val="left"/>
        <w:tblInd w:w="0" w:type="dxa"/>
        <w:tblCellMar>
          <w:top w:w="0" w:type="dxa"/>
          <w:left w:w="0" w:type="dxa"/>
          <w:bottom w:w="0" w:type="dxa"/>
          <w:right w:w="0" w:type="dxa"/>
        </w:tblCellMar>
      </w:tblPr>
      <w:tblGrid>
        <w:gridCol w:w="60"/>
        <w:gridCol w:w="110"/>
        <w:gridCol w:w="77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7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submission to the FDA of a new drug application, or NDA, after completion of all pivotal trials; </w:t>
            </w:r>
          </w:p>
        </w:tc>
      </w:tr>
    </w:tbl>
    <w:tbl>
      <w:tblPr>
        <w:tblW w:w="7870" w:type="dxa"/>
        <w:jc w:val="left"/>
        <w:tblInd w:w="0" w:type="dxa"/>
        <w:tblCellMar>
          <w:top w:w="0" w:type="dxa"/>
          <w:left w:w="0" w:type="dxa"/>
          <w:bottom w:w="0" w:type="dxa"/>
          <w:right w:w="0" w:type="dxa"/>
        </w:tblCellMar>
      </w:tblPr>
      <w:tblGrid>
        <w:gridCol w:w="60"/>
        <w:gridCol w:w="110"/>
        <w:gridCol w:w="77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7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 determination by the FDA within 60 days of its receipt of an NDA to file the NDA for review; </w:t>
            </w:r>
          </w:p>
        </w:tc>
      </w:tr>
    </w:tbl>
    <w:tbl>
      <w:tblPr>
        <w:tblW w:w="6415" w:type="dxa"/>
        <w:jc w:val="left"/>
        <w:tblInd w:w="0" w:type="dxa"/>
        <w:tblCellMar>
          <w:top w:w="0" w:type="dxa"/>
          <w:left w:w="0" w:type="dxa"/>
          <w:bottom w:w="0" w:type="dxa"/>
          <w:right w:w="0" w:type="dxa"/>
        </w:tblCellMar>
      </w:tblPr>
      <w:tblGrid>
        <w:gridCol w:w="60"/>
        <w:gridCol w:w="110"/>
        <w:gridCol w:w="62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2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satisfactory completion of an FDA advisory committee review, if applicable;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GCPs; </w:t>
            </w:r>
          </w:p>
        </w:tc>
      </w:tr>
    </w:tbl>
    <w:tbl>
      <w:tblPr>
        <w:tblW w:w="9415" w:type="dxa"/>
        <w:jc w:val="left"/>
        <w:tblInd w:w="0" w:type="dxa"/>
        <w:tblCellMar>
          <w:top w:w="0" w:type="dxa"/>
          <w:left w:w="0" w:type="dxa"/>
          <w:bottom w:w="0" w:type="dxa"/>
          <w:right w:w="0" w:type="dxa"/>
        </w:tblCellMar>
      </w:tblPr>
      <w:tblGrid>
        <w:gridCol w:w="60"/>
        <w:gridCol w:w="110"/>
        <w:gridCol w:w="92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2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potential FDA audit of the preclinical and/or clinical trial sites that generated the data in support of the NDA;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FDA review and approval of the NDA to permit commercial marketing of the product for particular indications for use in the United States.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Some preclinical testing may continue even after the IND is submitted. The IND also includes results of animal and </w:t>
      </w:r>
      <w:r>
        <w:rPr>
          <w:rFonts w:ascii="Times New Roman" w:hAnsi="Times New Roman"/>
          <w:b w:val="false"/>
          <w:i/>
          <w:caps w:val="false"/>
          <w:smallCaps w:val="false"/>
          <w:sz w:val="20"/>
        </w:rPr>
        <w:t xml:space="preserve">in vitro </w:t>
      </w:r>
      <w:r>
        <w:rPr>
          <w:rFonts w:ascii="Times New Roman" w:hAnsi="Times New Roman"/>
          <w:b w:val="false"/>
          <w:i w:val="false"/>
          <w:caps w:val="false"/>
          <w:smallCaps w:val="false"/>
          <w:sz w:val="20"/>
        </w:rPr>
        <w:t xml:space="preserve">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Human clinical trials are typically conducted in three sequential phases that may overlap or be combined: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Phase 2: The product candidate is administered to a limited patient population with a specified disease or condition to evaluate the preliminary efficacy, optimal dosages, dose tolerance and dosing schedule and to identify possible adverse side effects and safety risks. Multiple Phase 2 clinical trials may be conducted to obtain information prior to beginning larger and more expensive Phase 3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an NDA.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Post-approval trials, sometimes referred to as Phase 4 studies, may be conducted after initial marketing approval. These trials are used to gain additional experience from the treatment of patients in the intended therapeutic indication. In certain instances, such as with accelerated approval drugs, FDA may mandate the performance of Phase 4 trials. In certain instances, the FDA may mandate the performance of Phase 4 clinical trials as a condition of approval of an NDA.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 appropriate packaging must be selected and tested, and stability studies must be conducted to demonstrate that the product candidate does not undergo unacceptable deterioration over its shelf life.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hAnsi="Times New Roman"/>
          <w:b w:val="false"/>
          <w:i/>
          <w:caps w:val="false"/>
          <w:smallCaps w:val="false"/>
          <w:sz w:val="20"/>
        </w:rPr>
        <w:t xml:space="preserve">in vitro </w:t>
      </w:r>
      <w:r>
        <w:rPr>
          <w:rFonts w:ascii="Times New Roman" w:hAnsi="Times New Roman"/>
          <w:b w:val="false"/>
          <w:i w:val="false"/>
          <w:caps w:val="false"/>
          <w:smallCaps w:val="false"/>
          <w:sz w:val="20"/>
        </w:rPr>
        <w:t xml:space="preserve">testing suggesting a significant risk to humans, and any clinically important increased incidence of a serious suspected adverse reaction compared to that listed in the protocol or investigator brochure.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U.S. Review and Approval Process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Letter is issued, the sponsor must resubmit the NDA, addressing all of the deficiencies identified in the letter, or withdraw the application. Even if such data and information are submitted, the FDA may decide that the NDA does not satisfy the criteria for approval.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regulatory approval of a product is granted, such approval will be granted for particular indications and may contain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Expedited Development and Review Programs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has a number of programs intended to expedite the development or review of products that meet certain criteria. For example,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drug and combination therapy candidates as appropriate.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Post-approval Requirements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Accordingly, manufacturers must continue to expend time, money and effort in the area of production and quality control to maintain compliance with cGMP and other aspects of regulatory compliance.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restrictions on the marketing or manufacturing of the product, complete withdrawal of the product from the market or product recalls; </w:t>
            </w:r>
          </w:p>
        </w:tc>
      </w:tr>
    </w:tbl>
    <w:tbl>
      <w:tblPr>
        <w:tblW w:w="3415" w:type="dxa"/>
        <w:jc w:val="left"/>
        <w:tblInd w:w="0" w:type="dxa"/>
        <w:tblCellMar>
          <w:top w:w="0" w:type="dxa"/>
          <w:left w:w="0" w:type="dxa"/>
          <w:bottom w:w="0" w:type="dxa"/>
          <w:right w:w="0" w:type="dxa"/>
        </w:tblCellMar>
      </w:tblPr>
      <w:tblGrid>
        <w:gridCol w:w="60"/>
        <w:gridCol w:w="110"/>
        <w:gridCol w:w="32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2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fines, warning letters or untitled letters; </w:t>
            </w:r>
          </w:p>
        </w:tc>
      </w:tr>
    </w:tbl>
    <w:tbl>
      <w:tblPr>
        <w:tblW w:w="2935" w:type="dxa"/>
        <w:jc w:val="left"/>
        <w:tblInd w:w="0" w:type="dxa"/>
        <w:tblCellMar>
          <w:top w:w="0" w:type="dxa"/>
          <w:left w:w="0" w:type="dxa"/>
          <w:bottom w:w="0" w:type="dxa"/>
          <w:right w:w="0" w:type="dxa"/>
        </w:tblCellMar>
      </w:tblPr>
      <w:tblGrid>
        <w:gridCol w:w="60"/>
        <w:gridCol w:w="110"/>
        <w:gridCol w:w="27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7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clinical holds on clinical studies;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refusal of the FDA to approve pending applications or supplements to approved applications, or suspension or revocation of product license approvals; </w:t>
            </w:r>
          </w:p>
        </w:tc>
      </w:tr>
    </w:tbl>
    <w:tbl>
      <w:tblPr>
        <w:tblW w:w="6820" w:type="dxa"/>
        <w:jc w:val="left"/>
        <w:tblInd w:w="0" w:type="dxa"/>
        <w:tblCellMar>
          <w:top w:w="0" w:type="dxa"/>
          <w:left w:w="0" w:type="dxa"/>
          <w:bottom w:w="0" w:type="dxa"/>
          <w:right w:w="0" w:type="dxa"/>
        </w:tblCellMar>
      </w:tblPr>
      <w:tblGrid>
        <w:gridCol w:w="60"/>
        <w:gridCol w:w="110"/>
        <w:gridCol w:w="66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6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product seizure or detention, or refusal to permit the import or export of products; </w:t>
            </w:r>
          </w:p>
        </w:tc>
      </w:tr>
    </w:tbl>
    <w:tbl>
      <w:tblPr>
        <w:tblW w:w="8830" w:type="dxa"/>
        <w:jc w:val="left"/>
        <w:tblInd w:w="0" w:type="dxa"/>
        <w:tblCellMar>
          <w:top w:w="0" w:type="dxa"/>
          <w:left w:w="0" w:type="dxa"/>
          <w:bottom w:w="0" w:type="dxa"/>
          <w:right w:w="0" w:type="dxa"/>
        </w:tblCellMar>
      </w:tblPr>
      <w:tblGrid>
        <w:gridCol w:w="60"/>
        <w:gridCol w:w="110"/>
        <w:gridCol w:w="86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6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consent decrees, corporate integrity agreements, debarment or exclusion from federal healthcare programs; </w:t>
            </w:r>
          </w:p>
        </w:tc>
      </w:tr>
    </w:tbl>
    <w:tbl>
      <w:tblPr>
        <w:tblW w:w="8740" w:type="dxa"/>
        <w:jc w:val="left"/>
        <w:tblInd w:w="0" w:type="dxa"/>
        <w:tblCellMar>
          <w:top w:w="0" w:type="dxa"/>
          <w:left w:w="0" w:type="dxa"/>
          <w:bottom w:w="0" w:type="dxa"/>
          <w:right w:w="0" w:type="dxa"/>
        </w:tblCellMar>
      </w:tblPr>
      <w:tblGrid>
        <w:gridCol w:w="60"/>
        <w:gridCol w:w="110"/>
        <w:gridCol w:w="85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5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mandated modification of promotional materials and labeling and the issuance of corrective information;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issuance of safety alerts, “dear doctor” letters, press releases and other communications containing warnings or other safety information about the product; or </w:t>
            </w:r>
          </w:p>
        </w:tc>
      </w:tr>
    </w:tbl>
    <w:tbl>
      <w:tblPr>
        <w:tblW w:w="4990" w:type="dxa"/>
        <w:jc w:val="left"/>
        <w:tblInd w:w="0" w:type="dxa"/>
        <w:tblCellMar>
          <w:top w:w="0" w:type="dxa"/>
          <w:left w:w="0" w:type="dxa"/>
          <w:bottom w:w="0" w:type="dxa"/>
          <w:right w:w="0" w:type="dxa"/>
        </w:tblCellMar>
      </w:tblPr>
      <w:tblGrid>
        <w:gridCol w:w="60"/>
        <w:gridCol w:w="110"/>
        <w:gridCol w:w="48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8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injunctions or the imposition of civil or criminal penalties.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Marketing Exclusivity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Market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Foreign Government Regulation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order to market our future product candidates in the European Economic Area (which is comprised of the 28 Member States of the EU plus Norway, Iceland and Liechtenstein), or the EEA, and many other foreign jurisdictions, we must obtain separate regulatory approvals. More concretely, in the EEA, medicinal product candidates can only be commercialized after obtaining a Marketing Authorization, or MA, There are two types of marketing authorizations: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“Community MA,” which is issued by the European Commission through the Centralized Procedure, based on the opinion of the Committee for Medicinal Product candidates for Human Use of the EMA and which is valid throughout the entire territory of the EEA. The Centralized Procedure is mandatory for certain types of product candidates, such as biotechnology medicinal product candidates, orphan medicinal product candidates and medicinal product candidates indicated for the treatment of AIDS, cancer, neurodegenerative disorders, diabetes, auto-immune and viral diseases. The Centralized Procedure is optional for product candidates containing a new active substance not yet authorized in the EEA, or for product candidates that constitute a significant therapeutic, scientific or technical innovation or which are in the interest of public health in the EU;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caps w:val="false"/>
                <w:smallCaps w:val="false"/>
                <w:color w:val="000000"/>
              </w:rPr>
            </w:pPr>
            <w:r>
              <w:rPr>
                <w:caps w:val="false"/>
                <w:smallCaps w:val="false"/>
                <w:color w:val="000000"/>
              </w:rPr>
              <w:t>“</w:t>
            </w:r>
            <w:r>
              <w:rPr>
                <w:b w:val="false"/>
                <w:i w:val="false"/>
                <w:caps w:val="false"/>
                <w:smallCaps w:val="false"/>
                <w:color w:val="000000"/>
                <w:sz w:val="20"/>
              </w:rPr>
              <w:t xml:space="preserve">National MAs,” which are issued by the competent authorities of the Member States of the EEA and only cover their respective territory, are available for product candidates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above described procedures, before granting the MA, the EMA or the competent authorities of the Member States of the EEA make an assessment of the risk-benefit balance of the product on the basis of scientific criteria concerning its quality, safety and efficacy. </w:t>
      </w:r>
    </w:p>
    <w:p>
      <w:pPr>
        <w:pStyle w:val="TextBody"/>
        <w:spacing w:before="24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Data and marketing exclusivity</w:t>
      </w:r>
      <w:r>
        <w:rPr>
          <w:rFonts w:ascii="Times New Roman" w:hAnsi="Times New Roman"/>
          <w:b w:val="false"/>
          <w:i w:val="false"/>
          <w:caps w:val="false"/>
          <w:smallCaps w:val="false"/>
          <w:sz w:val="20"/>
        </w:rPr>
        <w:t xml:space="preserve">. In the EEA, new product candidates authorized for marketing, or reference product candidates,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w:t>
      </w:r>
    </w:p>
    <w:p>
      <w:pPr>
        <w:pStyle w:val="TextBody"/>
        <w:spacing w:before="24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Adaptive pathways</w:t>
      </w:r>
      <w:r>
        <w:rPr>
          <w:rFonts w:ascii="Times New Roman" w:hAnsi="Times New Roman"/>
          <w:b w:val="false"/>
          <w:i w:val="false"/>
          <w:caps w:val="false"/>
          <w:smallCaps w:val="false"/>
          <w:sz w:val="20"/>
        </w:rPr>
        <w:t xml:space="preserve">.    The EMA has an adaptive pathways program which allows for early and progressive patient access to a 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compassionate use; the conditional approval mechanism (for medicines addressing life-threatening conditions); patient registries and other pharmacovigilance tools that allow collection of real-life data and development of a risk-management plan for each medicine.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adaptive pathways program does not change the standards for the evaluation of benefits and risks or the requirement to demonstrate a positive benefit-risk balance to obtain marketing authorization. </w:t>
      </w:r>
    </w:p>
    <w:p>
      <w:pPr>
        <w:pStyle w:val="TextBody"/>
        <w:spacing w:before="24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PRIME scheme</w:t>
      </w:r>
      <w:r>
        <w:rPr>
          <w:rFonts w:ascii="Times New Roman" w:hAnsi="Times New Roman"/>
          <w:b w:val="false"/>
          <w:i w:val="false"/>
          <w:caps w:val="false"/>
          <w:smallCaps w:val="false"/>
          <w:sz w:val="20"/>
        </w:rPr>
        <w:t xml:space="preserve">. In July 2016, the EMA launched the PRIME scheme.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 candidates for Human Use before submission of an MAA, early dialogue and scientific advice at key development milestones, and the potential to qualify product candidates for accelerated review earlier in the application process.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Other U.S. Healthcare Laws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state and federal anti-kickback, fraud and abuse, false claims and physician sunshine laws and regulations. If their operations are found to be in violation of any of such laws or any other governmental regulations that apply, they may be subject to penalties, including, without limitation, civil and criminal penalties, damages, fines, the curtailment or restructuring of operations, exclusion from participation in federal and state healthcare programs and individual imprisonment.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Coverage and Reimbursement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Healthcare Reform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and certain foreign jurisdictions, there have been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its enactment, there have been judicial and Congressional challenges to certain aspects of the ACA, and we expect there will be additional challenges and amendments to the ACA in the future. For example, in 2017, Congress enacted the Tax Cuts and Jobs Act, or the Tax Act, which eliminated the tax-based shared responsibility payment imposed by the ACA on certain individuals who fail to maintain qualifying health coverage for all or part of a year that is commonly referred to as the “individual mandate.” On December 14, 2018, a Texas U.S. District Court Judge ruled that the individual mandate is a critical and inseverable feature of the ACA, and therefore, because it was repealed as part of the Tax Act, the remaining provisions of the ACA are invalid as well. In December 2019, the U.S. Court of Appeals for the 5th Circuit ruled that the individual mandate was unconstitutional and remanded the case back to the District Court to determine whether the remaining provisions of the ACA are invalid as well. The U.S. Supreme Court is currently reviewing the case, although it is unclear when the Supreme Court will make a decision. In addition, there may be other efforts to challenge, repeal or replace the ACA.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 legislative changes have been proposed and adopted since the ACA was enacted, including aggregate reductions of Medicare payments to providers of 2% per fiscal year and reduced payments to several types of Medicare providers, which will remain in effect through 2030 absent additional congressional action, with the exception of a temporary suspension from May 2020 through March 2021.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Data Privacy and Security Laws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Numerous state, federal and foreign laws govern the collection, dissemination, use, access to, confidentiality and security of health-related information. In the United States, numerous federal and state laws and regulations, including state data breach notification laws, state health information privacy laws, and federal and state consumer protection laws and regulations (e.g., Section 5 of the Federal Trade Commission Act, or FTC Act), govern the collection, use, disclosure, and protection of health-related and other personal information could apply to our operations or the operations of our partners. State laws may be more stringent, broader in scope or offer greater individual rights with respect to protected health information, or PHI, than the Health Insurance Portability and Accountability Act of 1996, or HIPAA, and state laws may differ from each other, which may complicate compliance efforts. Entities that are found to be in violation of HIPAA, as the result of a breach of unsecured PHI, a complaint about privacy practices, or an audit by U.S.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when HIPAA does not apply, according to the Federal Trade Commission, or FTC, violating consumers’ privacy rights or failing to take appropriate steps to keep consumers’ personal information secure may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certain state and non-U.S. laws, such as the GDPR,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recently enacted legislation, the CCPA, which went into effect in January 2020. The CCPA, among other things, creates new data privacy obligations for covered companies and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the CPRA was recently voted into law by California residents, which significantly amends the CCPA, and imposes additional data protection obligations on companies doing business in California, including additional consumer rights processes and opt outs for certain uses of sensitive data. It also creates a new California data protection agency specifically tasked to enforce the law, which would likely result in increased regulatory scrutiny of California businesses in the areas of data protection and security. The substantive requirements for businesses subject to the CPRA will go into effect in January 2023, and become enforceable in July 2023.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Europe, we are subject to laws relating to our and our suppliers’, vendors’, partners’ and subcontractors’ collection, control, processing and other use of personal data (i.e., any data relating to an identifiable living individual, whether that individual can be identified directly or indirectly). We are subject to the supervision of local data protection authorities in those jurisdictions where we are established, where we offer goods or services to EEA and United Kingdom residents and where we monitor the behavior of individuals within the EEA or the United Kingdom (i.e.,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EEA and the United Kingdom includes the GDPR, the e-Privacy Directive and the e-Privacy Regulation (once in force) and the national laws and regulations implementing or supplementing each of them.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GDPR requires that personal data is only collected for specified, explicit and legal purposes as set out in the GDPR or local laws, and the data may then only be processed in a manner consistent with those purposes. The personal data collected and processed must be adequate, relevant and not excessive in relation to the purposes for which it is collected and processed, it must be held securely, not transferred outside of the EEA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w:t>
      </w:r>
      <w:r>
        <w:rPr>
          <w:rFonts w:ascii="Times New Roman" w:hAnsi="Times New Roman"/>
          <w:b w:val="false"/>
          <w:i/>
          <w:caps w:val="false"/>
          <w:smallCaps w:val="false"/>
          <w:sz w:val="20"/>
        </w:rPr>
        <w:t>e.g.</w:t>
      </w:r>
      <w:r>
        <w:rPr>
          <w:rFonts w:ascii="Times New Roman" w:hAnsi="Times New Roman"/>
          <w:b w:val="false"/>
          <w:i w:val="false"/>
          <w:caps w:val="false"/>
          <w:smallCaps w:val="false"/>
          <w:sz w:val="20"/>
        </w:rPr>
        <w:t xml:space="preserve">, health data) is processed on a large scale, introduces mandatory data breach notification throughout the EEA and imposes additional obligations on us when we are contracting with service providers.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GDPR provides a broad right for EU and EEA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our ability to use and share such data or could cause our costs to increase, and harm our business and financial condition.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depend on a number of third parties in relation to the provision of our services, a number of which process personal data on our behalf. It is our policy to enter into contractual arrangements with each such provider to ensure that they only process personal data according to our instructions, and that they have sufficient technical and organizational security measures in place. Where we transfer personal data outside the EEA, we do so in compliance with the relevant data export requirements from time to time. We take our data protection obligations seriously, as any improper, unlawful or accidental disclosure, loss, alteration or access to, personal data, particularly sensitive personal data (i.e., special category), could negatively impact our business and/or our reputation.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also subject to EU laws on personal data export, as we may transfer personal data from the EEA to other jurisdictions which are not considered by the European Commission to offer adequate protection of personal data. Such transfers need to be legitimized by a valid transfer mechanism under the GDPR. Recent legal developments in Europe have created complexity and uncertainty regarding transfers of personal data from the EEA to the United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States: in July 2020, the Court of Justice of the European Union, or CJEU, invalidated the EU-US Privacy Shield Framework, or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GDPR increases financial penalties for noncompliance (including possible fines of up to four percent of global annual revenue for the preceding financial year or €20 million (whichever is higher) for the most serious violations). Relatedly, following the departure of the United Kingdom from the EU after the expiry of the transition period in January 2021, the United Kingdom will operate a separate but similar regime to the EU which we will have to comply with (with respect to any United Kingdom activities) and allows for fines of up to £17.5 million or 4% of the total worldwide annual turnover of the preceding financial year (whichever is higher).</w:t>
      </w:r>
    </w:p>
    <w:p>
      <w:pPr>
        <w:pStyle w:val="TextBody"/>
        <w:spacing w:before="0" w:after="0"/>
        <w:jc w:val="both"/>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Employees and Human Capital Management</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we had 30 employees, all of whom were full-time, </w:t>
      </w:r>
      <w:r>
        <w:rPr>
          <w:rFonts w:ascii="Times New Roman" w:hAnsi="Times New Roman"/>
          <w:b w:val="false"/>
          <w:i w:val="false"/>
          <w:caps w:val="false"/>
          <w:smallCaps w:val="false"/>
          <w:color w:val="000000"/>
          <w:sz w:val="20"/>
          <w:highlight w:val="white"/>
        </w:rPr>
        <w:t>all of whom are engaged in research and development activities, operations, finance and administration. Sixteen of our employees hold doctorate degrees (Ph.D., M.D. or Pharm.D.)</w:t>
      </w:r>
      <w:r>
        <w:rPr>
          <w:rFonts w:ascii="Times New Roman" w:hAnsi="Times New Roman"/>
          <w:b w:val="false"/>
          <w:i w:val="false"/>
          <w:caps w:val="false"/>
          <w:smallCaps w:val="false"/>
          <w:color w:val="000000"/>
          <w:sz w:val="20"/>
        </w:rPr>
        <w:t xml:space="preserve">. None of our employees is subject to a collective bargaining agreement. We consider our relationship with our employees to be good.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key human capital management objectives include, among others: (i) attracting, developing, and retaining a diverse and talented workforce; (ii) providing opportunities for learning, development, career growth, and movement within our company; (iii) evaluating compensation and benefits, and rewarding performance; (iv) investing in physical, emotional, and financial health of team members; (v) obtaining team member feedback; (vi) maintaining and enhancing our culture and mission; and (vii) communicating with our board of directors on a routine basis on key topics. We have implemented and continue to develop many programs designed to achieve these priorities.</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Corporate Information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were incorporated under the laws of the Cayman Islands on December 9, 2016. On December 29, 2020, we effected a de-registration under the Cayman Islands Companies Law (2020 Revision) and a domestication under Section 388 of the Delaware General Corporation Law (by means of filing a certificate of domestication with the Secretary of State of Delaware), pursuant to which our jurisdiction of incorporation was changed from the Cayman Islands to the State of Delaware. Our principal executive offices are located at 1065 East Hillsdale Boulevard, Suite 100, Foster City, California 94404, and our telephone number is (650) 525-5535. </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website address is www.ternspharma.com.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pStyle w:val="TextBody"/>
        <w:spacing w:before="240" w:after="0"/>
        <w:jc w:val="center"/>
        <w:rPr>
          <w:rFonts w:ascii="Times New Roman" w:hAnsi="Times New Roman"/>
          <w:b w:val="false"/>
          <w:i w:val="false"/>
          <w:caps w:val="false"/>
          <w:smallCaps w:val="false"/>
          <w:sz w:val="20"/>
        </w:rPr>
      </w:pPr>
      <w:bookmarkStart w:id="14" w:name="_AEIOULastRenderedPageBreakAEIOU11"/>
      <w:bookmarkEnd w:id="14"/>
      <w:r>
        <w:rPr>
          <w:rFonts w:ascii="Times New Roman" w:hAnsi="Times New Roman"/>
          <w:b w:val="false"/>
          <w:i w:val="false"/>
          <w:caps w:val="false"/>
          <w:smallCaps w:val="false"/>
          <w:sz w:val="20"/>
        </w:rPr>
        <w:t>45</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15" w:name="ITEM_1A_RISK_FACTORS"/>
      <w:bookmarkEnd w:id="15"/>
      <w:r>
        <w:rPr>
          <w:rFonts w:ascii="Times New Roman" w:hAnsi="Times New Roman"/>
          <w:b/>
          <w:i w:val="false"/>
          <w:caps w:val="false"/>
          <w:smallCaps w:val="false"/>
          <w:sz w:val="20"/>
        </w:rPr>
        <w:t xml:space="preserve">Item 1A. Risk Factors.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Investing in our common stock involves a high degree of risk. You should carefully consider the risks described below, as well as the other information in this Annual Report on Form 10-K, including our consolidated financial statements and the related notes and Item 7. “Management’s Discussion and Analysis of Financial Condition and Results of Operations,” before deciding whether to invest in our common stock. Many of the following risks and uncertainties are, and will be, exacerbated by the coronavirus disease 2019, or COVID-19, pandemic and any worsening of the global business and economic environment as a result. The occurrence of any of the events or developments described below could materially and adversely affect our business, financial condition, results of operations and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Limited Operating History, Financial Condition and Capital Requirements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a clinical-stage biopharmaceutical company with a limited operating history and no products approved for commercial sale. We have incurred significant losses since our inception, and we anticipate that we will continue to incur significant losses for the foreseeable future, which, together with our limited operating history, makes it difficult to assess our future viability.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clinical-stage biopharmaceutical company, and we have only a limited operating history upon which you can evaluate our business and prospects. Biopharmaceutical product development is a highly speculative undertaking and involves a substantial degree of risk. We have no products approved for commercial sale and have not generated any revenue from sales of our single-agent and combination therapy candidates and have incurred losses in each year since our inception in December 2016. We have only a limited operating history upon which you can evaluate our business and prospects. In addition, we have not yet demonstrated an ability to successfully overcome many of the risks and uncertainties frequently encountered by companies in new and rapidly evolving fields, particularly in the pharmaceutical, biopharmaceutical and biotechnology industry.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had significant operating losses since our inception. Our net loss attributable to common stockholders for the years ended December 31, 2020 and 2019 was approximately $29.4 million and $68.6 million, respectively. As of December 31, 2020, we had an accumulated deficit of $131.9 million. Substantially all of our losses have resulted from expenses incurred in connection with our research and development programs and from general and administrative costs associated with our operations. We expect to continue to incur losses for the foreseeable future, and we anticipate these losses will increase as we continue to develop our single-agent and combination therapy candidates, conduct clinical trials and pursue research and development activities. Even if we achieve profitability in the future, we may not be able to sustain profitability in subsequent periods. Our prior losses, combined with expected future losses, have had and will continue to have an adverse effect on our stockholders’ equity and working capital.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our inception, we have invested a significant portion of our efforts and financial resources in research and development activities. Our single-agent and combination therapy candidates will require additional clinical development, and we intend to conduct additional research and development activities to discover and develop new single-agent and combination therapy candidates, including conducting preclinical studies and clinical trials, all of which will require substantial additional funds. We will continue to expend significant resources for the foreseeable future in connection with these activities. These expenditures will include costs associated with conducting preclinical studies and clinical trials, obtaining regulatory approvals and manufacturing and supply, as well as marketing and selling any drugs approved for sale. In addition, other unanticipated costs may arise. Because the outcome of any preclinical study or clinical trial is highly uncertain, we cannot reasonably estimate the actual amounts necessary to successfully complete the development and commercialization of our single-agent and combination therapy candidates or any future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2020, we had capital resources consisting of cash and cash equivalents of approximately $74.9 million. In December 2020, we issued and sold shares of our convertible preferred stock for gross proceeds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approximately $87.4 million (including conversion of the $15.0 million of convertible notes and effective conversion of $1.8 million in a bridge loan, plus accrued interest). In February 2021, we issued and sold 8,625,000 shares of our common stock in our initial public offering, or IPO, for net proceeds of approximately $132.9 million, after deducting underwriting discounts and commissions and offering expenses. We expect our existing capital resources, which includes the gross proceeds from the issuance and sale of our convertible preferred stock and the net proceeds from our IPO, will fund our planned operating expenses into 2024. However, our operating plans may change as a result of many factors currently unknown to us, and we may need to seek additional funds sooner than planned through public or private equity offerings or debt financings or other sources, such as strategic collaborations. Such financing may result in dilution to our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future capital requirements depend on many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scope, progress, results and costs of researching and developing our current single-agent and combination therapy candidates or any other future single-agent and combination therapy candidates we choose to pursue, and conducting preclinical studies and clinical trials, including our planned clinical trials of TERN-101, TERN-201, TERN-501 and the coadministration of TERN-101 and TERN-501 and any delays related to the COVID-19 pandemic;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timing of, and the costs involved in, obtaining regulatory approvals for our single-agent and combination therapy candidates or any future single-agent and combination therapy candidates; </w:t>
            </w:r>
          </w:p>
        </w:tc>
      </w:tr>
    </w:tbl>
    <w:tbl>
      <w:tblPr>
        <w:tblW w:w="9940" w:type="dxa"/>
        <w:jc w:val="left"/>
        <w:tblInd w:w="0" w:type="dxa"/>
        <w:tblCellMar>
          <w:top w:w="0" w:type="dxa"/>
          <w:left w:w="0" w:type="dxa"/>
          <w:bottom w:w="0" w:type="dxa"/>
          <w:right w:w="0" w:type="dxa"/>
        </w:tblCellMar>
      </w:tblPr>
      <w:tblGrid>
        <w:gridCol w:w="60"/>
        <w:gridCol w:w="110"/>
        <w:gridCol w:w="97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7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number and characteristics of any additional single-agent or combination therapy candidates we develop or acquire;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timing and amount of any milestone, royalty and/or other payments we are required to make pursuant to our current or any future license or collaboration agreements;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 of manufacturing our single-agent and combination therapy candidates or any future single-agent and combination therapy candidates and any single-agent or combination therapies we successfully commercialize;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 of pre-commercial activities and, if approved, commercialization activities related to our single-agent and combination therapy candidates, including marketing, sales and distribution costs; </w:t>
            </w:r>
          </w:p>
        </w:tc>
      </w:tr>
    </w:tbl>
    <w:tbl>
      <w:tblPr>
        <w:tblW w:w="7105" w:type="dxa"/>
        <w:jc w:val="left"/>
        <w:tblInd w:w="0" w:type="dxa"/>
        <w:tblCellMar>
          <w:top w:w="0" w:type="dxa"/>
          <w:left w:w="0" w:type="dxa"/>
          <w:bottom w:w="0" w:type="dxa"/>
          <w:right w:w="0" w:type="dxa"/>
        </w:tblCellMar>
      </w:tblPr>
      <w:tblGrid>
        <w:gridCol w:w="60"/>
        <w:gridCol w:w="110"/>
        <w:gridCol w:w="69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9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 of building or contracting a sales force in anticipation of commercialization;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establish strategic collaborations, licensing or other arrangements and the financial terms of any such agreements, including the timing and amount of any future milestone, royalty or other payments due under any such agreement; </w:t>
            </w:r>
          </w:p>
        </w:tc>
      </w:tr>
    </w:tbl>
    <w:tbl>
      <w:tblPr>
        <w:tblW w:w="9550" w:type="dxa"/>
        <w:jc w:val="left"/>
        <w:tblInd w:w="0" w:type="dxa"/>
        <w:tblCellMar>
          <w:top w:w="0" w:type="dxa"/>
          <w:left w:w="0" w:type="dxa"/>
          <w:bottom w:w="0" w:type="dxa"/>
          <w:right w:w="0" w:type="dxa"/>
        </w:tblCellMar>
      </w:tblPr>
      <w:tblGrid>
        <w:gridCol w:w="60"/>
        <w:gridCol w:w="110"/>
        <w:gridCol w:w="938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38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any product liability or other lawsuits related to our single-agent and combination therapy candidates, if approved; </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2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expenses needed to attract, hire and retain skilled personnel; </w:t>
            </w:r>
          </w:p>
        </w:tc>
      </w:tr>
    </w:tbl>
    <w:tbl>
      <w:tblPr>
        <w:tblW w:w="4300" w:type="dxa"/>
        <w:jc w:val="left"/>
        <w:tblInd w:w="0" w:type="dxa"/>
        <w:tblCellMar>
          <w:top w:w="0" w:type="dxa"/>
          <w:left w:w="0" w:type="dxa"/>
          <w:bottom w:w="0" w:type="dxa"/>
          <w:right w:w="0" w:type="dxa"/>
        </w:tblCellMar>
      </w:tblPr>
      <w:tblGrid>
        <w:gridCol w:w="60"/>
        <w:gridCol w:w="110"/>
        <w:gridCol w:w="41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1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costs associated with being a public company;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costs involved in preparing, filing, prosecuting, maintaining, defending and enforcing our intellectual property portfolio; </w:t>
            </w:r>
          </w:p>
        </w:tc>
      </w:tr>
    </w:tbl>
    <w:tbl>
      <w:tblPr>
        <w:tblW w:w="6160" w:type="dxa"/>
        <w:jc w:val="left"/>
        <w:tblInd w:w="0" w:type="dxa"/>
        <w:tblCellMar>
          <w:top w:w="0" w:type="dxa"/>
          <w:left w:w="0" w:type="dxa"/>
          <w:bottom w:w="0" w:type="dxa"/>
          <w:right w:w="0" w:type="dxa"/>
        </w:tblCellMar>
      </w:tblPr>
      <w:tblGrid>
        <w:gridCol w:w="60"/>
        <w:gridCol w:w="110"/>
        <w:gridCol w:w="59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9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timing, receipt and amount of sales of any future approved drugs; and </w:t>
            </w:r>
          </w:p>
        </w:tc>
      </w:tr>
    </w:tbl>
    <w:tbl>
      <w:tblPr>
        <w:tblW w:w="8965" w:type="dxa"/>
        <w:jc w:val="left"/>
        <w:tblInd w:w="0" w:type="dxa"/>
        <w:tblCellMar>
          <w:top w:w="0" w:type="dxa"/>
          <w:left w:w="0" w:type="dxa"/>
          <w:bottom w:w="0" w:type="dxa"/>
          <w:right w:w="0" w:type="dxa"/>
        </w:tblCellMar>
      </w:tblPr>
      <w:tblGrid>
        <w:gridCol w:w="60"/>
        <w:gridCol w:w="110"/>
        <w:gridCol w:w="87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7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impact of the COVID-19 pandemic, which may exacerbate the magnitude of the factors discussed above. </w:t>
            </w:r>
          </w:p>
        </w:tc>
      </w:tr>
    </w:tbl>
    <w:p>
      <w:pPr>
        <w:pStyle w:val="TextBody"/>
        <w:spacing w:before="240" w:after="0"/>
        <w:jc w:val="center"/>
        <w:rPr>
          <w:rFonts w:ascii="Times New Roman" w:hAnsi="Times New Roman"/>
          <w:b w:val="false"/>
          <w:i w:val="false"/>
          <w:caps w:val="false"/>
          <w:smallCaps w:val="false"/>
          <w:sz w:val="20"/>
        </w:rPr>
      </w:pPr>
      <w:bookmarkStart w:id="16" w:name="_AEIOULastRenderedPageBreakAEIOU12"/>
      <w:bookmarkEnd w:id="16"/>
      <w:r>
        <w:rPr>
          <w:rFonts w:ascii="Times New Roman" w:hAnsi="Times New Roman"/>
          <w:b w:val="false"/>
          <w:i w:val="false"/>
          <w:caps w:val="false"/>
          <w:smallCaps w:val="false"/>
          <w:sz w:val="20"/>
        </w:rPr>
        <w:t>47</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adequate funds are not available to us on a timely basis, we may be required to: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delay, limit, reduce or terminate preclinical studies, clinical trials or other development activities for our single-agent and combination therapy candidates or any future single-agent or combination therapy candidate; </w:t>
            </w:r>
          </w:p>
        </w:tc>
      </w:tr>
    </w:tbl>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1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delay, limit, reduce or terminate our research and development activities; 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delay, limit, reduce or terminate our efforts to establish manufacturing and sales and marketing capabilities or other activities that may be necessary to commercialize our single-agent and combination therapy candidates or any future single-agent or combination therapy candidate, or reduce our flexibility in developing or maintaining our sales and marketing strategy.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could be required to seek funds through arrangements with collaborators or others that may require us to relinquish rights to some of our technologies or single-agent and combination therapy candidates that we would otherwise pursue on our own. We do not expect to realize revenue from sales of products or royalties from licensed products in the foreseeable future, if at all, and unless and until our single-agent and combination therapy candidates are clinically tested, approved for commercialization and successfully marketed. To date, we have primarily financed our operations through the sale of equity and debt securities. We will be required to seek additional funding in the future and currently intend to do so through public or private equity offerings or debt financings, credit or loan facilities, collaborations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Due to the significant resources required for the development of our single-agent and combination therapy candidates, we must prioritize development of certain single-agent and combination therapy candidates and/or certain disease indications, which initially will be NASH. We may expend our limited resources on candidates or indications that do not yield a successful product and fail to capitalize on single-agent and combination therapy candidates or indications that may be more profitable or for which there is a greater likelihood of success.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currently focused on developing a portfolio of small-molecule single-agent and combination therapy candidates for the treatment of non-alcoholic steatohepatitis, or NASH, and other chronic liver diseases. We seek to maintain a process of prioritization and resource allocation among our programs to maintain a balance between advancing our three clinical-stage programs, TERN-101, TERN-201 and TERN-501, in identified indications and exploring additional indications or mechanisms as well as developing future single-agent and combination therapy candidates. We also aim to conduct combination trials of our single-agent drug candidates. However, due to the significant resources required for the development of our single-agent and combination therapy candidates, we must focus on specific diseases and disease pathways and decide which single-agent and combination therapy candidates to pursue and the amount of resources to allocate to each such single-agent or combination therapy candidate.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decisions concerning the allocation of research, development, collaboration, management and financial resources toward particular single-agent and combination therapy candidates or therapeutic areas may not lead to the development of any viable commercial drug and may divert resources away from better opportunities. Similarly, any decision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single-agent and combination therapy candidates or misread trends in NASH or in the pharmaceutical, biopharmaceutical or biotechnology industry, our business, financial condition and results of operations could be materially adversely affected. As a result, we may fail to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capitalize on viable commercial products or profitable market opportunities, be required to forego or delay pursuit of opportunities with other single-agent and combination therapy candidates or other diseases and disease pathways that may later prove to have greater commercial potential than those we choose to pursue, or relinquish valuable rights to such single-agent and combination therapy candidates through collaboration, licensing or other royalty arrangements in cases in which it would have been advantageous for us to invest additional resources to retain development and commercialization rights.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operating results may fluctuate significantly, which makes our future operating results difficult to predict and could cause our operating results to fall below expectations.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timing and cost of, and level of investment in, research, development, pre-commercial and, if approved, commercialization activities relating to our single-agent and combination therapy candidates, which may change from time to time; </w:t>
            </w:r>
          </w:p>
        </w:tc>
      </w:tr>
    </w:tbl>
    <w:tbl>
      <w:tblPr>
        <w:tblW w:w="4825" w:type="dxa"/>
        <w:jc w:val="left"/>
        <w:tblInd w:w="0" w:type="dxa"/>
        <w:tblCellMar>
          <w:top w:w="0" w:type="dxa"/>
          <w:left w:w="0" w:type="dxa"/>
          <w:bottom w:w="0" w:type="dxa"/>
          <w:right w:w="0" w:type="dxa"/>
        </w:tblCellMar>
      </w:tblPr>
      <w:tblGrid>
        <w:gridCol w:w="60"/>
        <w:gridCol w:w="110"/>
        <w:gridCol w:w="46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6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timing and status of enrollment for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 of manufacturing our single-agent and combination therapy candidates, as well as building out our supply chain, which may vary depending on the quantity of production and the terms of our agreements with manufacturers;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expenditures that we may incur to acquire, develop or commercialize additional single-agent and combination therapy candidates and technologies; </w:t>
            </w:r>
          </w:p>
        </w:tc>
      </w:tr>
    </w:tbl>
    <w:tbl>
      <w:tblPr>
        <w:tblW w:w="9460" w:type="dxa"/>
        <w:jc w:val="left"/>
        <w:tblInd w:w="0" w:type="dxa"/>
        <w:tblCellMar>
          <w:top w:w="0" w:type="dxa"/>
          <w:left w:w="0" w:type="dxa"/>
          <w:bottom w:w="0" w:type="dxa"/>
          <w:right w:w="0" w:type="dxa"/>
        </w:tblCellMar>
      </w:tblPr>
      <w:tblGrid>
        <w:gridCol w:w="60"/>
        <w:gridCol w:w="110"/>
        <w:gridCol w:w="92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2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timing and amount of any milestone, royalty or other payments due under any collaboration or license agreement; </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0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future accounting pronouncements or changes in our accounting policies;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timing and success or failure of preclinical studies and clinical trials for our single-agent and combination therapy candidates or competing single-agent and combination therapy candidates, or any other change in the competitive landscape of our industry, including consolidation among our competitors or partners;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timing of receipt of approvals for, and the scope of or limitation on the marketing authorizations received on, our single-agent and combination therapy candidates from regulatory authorities in the United States and internationally;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coverage and reimbursement policies with respect to our single-agent and combination therapy candidates, if approved, and potential future drugs that compete with our single agent and combination therapies;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level of demand for our single-agent and combination therapy candidates, if approved, which may vary significantly over time; and </w:t>
            </w:r>
          </w:p>
        </w:tc>
      </w:tr>
    </w:tbl>
    <w:tbl>
      <w:tblPr>
        <w:tblW w:w="8830" w:type="dxa"/>
        <w:jc w:val="left"/>
        <w:tblInd w:w="0" w:type="dxa"/>
        <w:tblCellMar>
          <w:top w:w="0" w:type="dxa"/>
          <w:left w:w="0" w:type="dxa"/>
          <w:bottom w:w="0" w:type="dxa"/>
          <w:right w:w="0" w:type="dxa"/>
        </w:tblCellMar>
      </w:tblPr>
      <w:tblGrid>
        <w:gridCol w:w="60"/>
        <w:gridCol w:w="110"/>
        <w:gridCol w:w="86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6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impact from COVID-19, which may have the effect of magnifying many of the factors described above.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the discovery and development of our single-agent and combination therapy candidates.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early in our development efforts. Our business is heavily dependent on the successful development, regulatory approval and commercialization of our current and future single-agent and combination therapy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 drugs or combination therapies approved for sale, and our two clinical-stage programs are in early stages of clinical development. The success of our business, including our ability to finance our company and generate revenue in the future, will primarily depend on the successful development, regulatory approval and commercialization of our single-agent and combination therapy candidates and, in particular, the advancement of our current clinical-stage programs, which are in early stages of clinical development. Given our stage of development, it may be many years, if we succeed at all, before we have demonstrated the safety and efficacy of a single-agent or combination therapy candidate sufficient to warrant approval for commercialization. We cannot be certain that our single-agent and combination therapy candidates will receive regulatory approval or be successfully commercialized even if we receive regulatory approval.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not previously submitted a new drug application, or NDA, to the U.S. Food and Drug Administration, or FDA, or similar approval filings to a comparable foreign regulatory authority, for any single-agent or combination therapy candidate. An NDA or other relevant regulatory filing must include extensive preclinical and clinical data and supporting information to establish that the single-agent or combination therapy candidate is safe and effective for each desired indication. The NDA or other relevant regulatory filing must also include significant information regarding the chemistry, manufacturing and controls for the product. We cannot be certain that our current or future single-agent and combination therapy candidates will be successful in clinical trials or receive regulatory approval. Further, even if they are successful in clinical trials, our current or future single-agent and combination therapy candidates may not receive regulatory approval. If we do not receive regulatory approvals for current or future single-agent and combination therapy candidates, we may not be able to continue our operations. Even if we successfully obtain regulatory approval to market a single-agent or combination therapy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plan to seek regulatory approval to commercialize our single-agent and combination therapy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future, we may also become dependent on other single-agent and combination therapy candidates that we may develop or acquire. The clinical and commercial success of our single-agent and combination therapy candidates and future single-agent and combination therapy candidates will depend on a number of factors,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timely completion of our preclinical studies and clinical trials, which may be significantly slower or cost more than we currently anticipate and will depend substantially upon the performance of third-party contractors; </w:t>
            </w:r>
          </w:p>
        </w:tc>
      </w:tr>
    </w:tbl>
    <w:tbl>
      <w:tblPr>
        <w:tblW w:w="9205" w:type="dxa"/>
        <w:jc w:val="left"/>
        <w:tblInd w:w="0" w:type="dxa"/>
        <w:tblCellMar>
          <w:top w:w="0" w:type="dxa"/>
          <w:left w:w="0" w:type="dxa"/>
          <w:bottom w:w="0" w:type="dxa"/>
          <w:right w:w="0" w:type="dxa"/>
        </w:tblCellMar>
      </w:tblPr>
      <w:tblGrid>
        <w:gridCol w:w="60"/>
        <w:gridCol w:w="110"/>
        <w:gridCol w:w="9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sufficiency of our financial and other resources to complete the necessary preclinical studies and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COVID-19 pandemic, which may result in clinical site closures, delays to patient enrollment, patients discontinuing their treatment or follow-up visits or changes to trial protocols; </w:t>
            </w:r>
          </w:p>
        </w:tc>
      </w:tr>
    </w:tbl>
    <w:tbl>
      <w:tblPr>
        <w:tblW w:w="6685" w:type="dxa"/>
        <w:jc w:val="left"/>
        <w:tblInd w:w="0" w:type="dxa"/>
        <w:tblCellMar>
          <w:top w:w="0" w:type="dxa"/>
          <w:left w:w="0" w:type="dxa"/>
          <w:bottom w:w="0" w:type="dxa"/>
          <w:right w:w="0" w:type="dxa"/>
        </w:tblCellMar>
      </w:tblPr>
      <w:tblGrid>
        <w:gridCol w:w="60"/>
        <w:gridCol w:w="110"/>
        <w:gridCol w:w="65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51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raise any additional required capital on acceptable terms, or at all;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complete investigational new drug applications, or INDs, IND-enabling studies and successfully submit INDs or comparable applications for our preclinical or future single-agent and combination therapy candidates;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whether we are required by the FDA or similar foreign regulatory authorities to conduct additional clinical trials or other studies beyond those planned to support the approval and commercialization of our single-agent and combination therapy candidates or any future single-agent and combination therapy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acceptance of our proposed indications and primary endpoint assessments relating to the proposed indications of our single-agent and combination therapy candidates by the FDA and similar foreign regulatory authorities, including the use of non-invasive or other novel endpoint to initially obtain market authorization for our single-agent and combination therapy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demonstrate to the satisfaction of the FDA and similar foreign regulatory authorities the safety, efficacy and acceptable risk to benefit profile of our single-agent and combination therapy candidates or any future single-agent and combination therapy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prevalence, duration and severity of potential side effects or other safety issues experienced with our single-agent and combination therapy candidates or future approved drugs, if any; </w:t>
            </w:r>
          </w:p>
        </w:tc>
      </w:tr>
    </w:tbl>
    <w:tbl>
      <w:tblPr>
        <w:tblW w:w="8980" w:type="dxa"/>
        <w:jc w:val="left"/>
        <w:tblInd w:w="0" w:type="dxa"/>
        <w:tblCellMar>
          <w:top w:w="0" w:type="dxa"/>
          <w:left w:w="0" w:type="dxa"/>
          <w:bottom w:w="0" w:type="dxa"/>
          <w:right w:w="0" w:type="dxa"/>
        </w:tblCellMar>
      </w:tblPr>
      <w:tblGrid>
        <w:gridCol w:w="60"/>
        <w:gridCol w:w="110"/>
        <w:gridCol w:w="88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8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timely receipt of necessary marketing approvals from the FDA and similar foreign regulatory authorities;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achieving and maintaining and, where applicable, ensuring that our third-party contractors achieve and maintain compliance with our contractual obligations and with all regulatory requirements applicable to our single-agent and combination therapy candidates or any future single-agent and combination therapy candidates or approved drugs, if any;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ability of third parties with whom we contract to manufacture adequate clinical trial and commercial supplies of our single-agent and combination therapy candidates or any future single-agent and combination therapy candidates to remain in good standing with regulatory agencies and develop, validate and maintain commercially viable manufacturing processes that are compliant with current good manufacturing practices, or cGMPs;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successfully develop a commercial strategy and thereafter commercialize our single-agent and combination therapy candidates or any future single-agent and combination therapy candidates in the United States and internationally, if approved for marketing, reimbursement, sale and distribution in such countries and territories, whether alone or in collaboration with others;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achieve sufficient market acceptance, coverage and adequate reimbursement from third-party payors and adequate market share and revenue for any approved drugs;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convenience of our treatment or dosing regimen and the degree to which patients are able to comply with the recommended treatment program;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acceptance by physicians, payors and patients of the benefits, safety and efficacy of our single-agent and combination therapy candidates or any future single-agent and combination therapy candidates, if approved, including relative to alternative and competing treatments;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willingness of physicians, operators of clinics and patients to utilize or adopt any of our single-agent or combination therapy candidates or any future single-agent and combination therapy candidates, if approved; </w:t>
            </w:r>
          </w:p>
        </w:tc>
      </w:tr>
    </w:tbl>
    <w:tbl>
      <w:tblPr>
        <w:tblW w:w="8830" w:type="dxa"/>
        <w:jc w:val="left"/>
        <w:tblInd w:w="0" w:type="dxa"/>
        <w:tblCellMar>
          <w:top w:w="0" w:type="dxa"/>
          <w:left w:w="0" w:type="dxa"/>
          <w:bottom w:w="0" w:type="dxa"/>
          <w:right w:w="0" w:type="dxa"/>
        </w:tblCellMar>
      </w:tblPr>
      <w:tblGrid>
        <w:gridCol w:w="60"/>
        <w:gridCol w:w="110"/>
        <w:gridCol w:w="86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6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patients’ willingness to enroll or continue to participate in a clinical trial during the COVID-19 pandemic;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patient demand for our current or future single-agent and combination therapy candidates, if approved, including patients’ willingness to pay out-of-pocket for any approved drugs in the absence of coverage and/or adequate reimbursement from third-party payors; </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5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effectively competing with other therapies;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ease, speed and cost at which we are able to execute on our strategy to develop fixed-dose combination therapy candidates that have desirable profiles;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establish and enforce intellectual property rights in and to our single-agent and combination therapy candidates or any future single-agent and combination therapy candidates; and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avoid third-party patent interference, intellectual property challenges or intellectual property infringement claims.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factors, many of which are beyond our control, could cause us to experience significant delays or an inability to obtain regulatory approvals or commercialize our single-agent and combination therapy candidates. Even if regulatory approvals are obtained, we may never be able to successfully commercialize any of our single-agent or combination therapy candidates. Accordingly, we cannot provide assurances that we will be able to generate sufficient revenue through the sale of our single-agent and combination therapy candidates or any future single-agent and combination therapy candidates to continue our business or achieve profitability.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Clinical drug development involves a lengthy and expensive process with uncertain timelines and outcomes, and results of earlier studies and trials may not be predictive of future trial results. If development of our single-agent and combination therapy candidates is unsuccessful or delayed, we may be unable to obtain required regulatory approvals and we may be unable to commercialize our single-agent and combination therapy candidates on a timely basis, if at all.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testing is expensive and can take many years to complete, and its outcome is inherently uncertain. Failure or delay can occur at any time during the clinical trial process. Success in nonclinical testing and early clinical trials does not ensure that later clinical trials will be successful. A number of companies in the pharmaceutical industry, including biotechnology companies, have suffered significant setbacks in clinical trials, even after promising results in earlier nonclinical or clinical studies. These setbacks have been caused by, among other things, nonclinical findings made while clinical studies were underway and safety or efficacy observations made in clinical studies, including previously unreported adverse events. The results of preclinical, nonclinical and early clinical studies of our single-agent and combination therapy candidates may not be predictive of the results of later-stage clinical trials. Single-agent and combination therapy candidates in later stages of clinical trials may fail to show the desired safety and efficacy traits despite having progressed through preclinical and initial clinical trials. Notwithstanding any potential promising results in earlier studies, we cannot be certain that we will not face similar setbacks. Even if our clinical trials are completed, the results may not be sufficient to obtain regulatory approval for our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experience delays in initiating our clinical trials and we cannot be certain that the trials or any other future clinical trials for our single-agent and combination therapy candidates will begin on time, need to be redesigned, enroll an adequate number of patients on time or be completed on schedule, if at all. Clinical trials can be delayed or terminated for a variety of reasons, including delay or failure related to: </w:t>
      </w:r>
    </w:p>
    <w:tbl>
      <w:tblPr>
        <w:tblW w:w="10075" w:type="dxa"/>
        <w:jc w:val="left"/>
        <w:tblInd w:w="0" w:type="dxa"/>
        <w:tblCellMar>
          <w:top w:w="0" w:type="dxa"/>
          <w:left w:w="0" w:type="dxa"/>
          <w:bottom w:w="0" w:type="dxa"/>
          <w:right w:w="0" w:type="dxa"/>
        </w:tblCellMar>
      </w:tblPr>
      <w:tblGrid>
        <w:gridCol w:w="60"/>
        <w:gridCol w:w="110"/>
        <w:gridCol w:w="99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0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FDA or comparable foreign regulatory authorities disagreeing as to the design or implementation of our clinical trials; </w:t>
            </w:r>
          </w:p>
        </w:tc>
      </w:tr>
    </w:tbl>
    <w:tbl>
      <w:tblPr>
        <w:tblW w:w="7090" w:type="dxa"/>
        <w:jc w:val="left"/>
        <w:tblInd w:w="0" w:type="dxa"/>
        <w:tblCellMar>
          <w:top w:w="0" w:type="dxa"/>
          <w:left w:w="0" w:type="dxa"/>
          <w:bottom w:w="0" w:type="dxa"/>
          <w:right w:w="0" w:type="dxa"/>
        </w:tblCellMar>
      </w:tblPr>
      <w:tblGrid>
        <w:gridCol w:w="60"/>
        <w:gridCol w:w="110"/>
        <w:gridCol w:w="69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9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size of the study population for further analysis of the study’s primary endpoints;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acceptance by the FDA or comparable foreign regulatory authorities on the use of any of the non-invasive or other novel diagnostics or endpoints we incorporate into our clinical development to obtain initial market authorization; </w:t>
            </w:r>
          </w:p>
        </w:tc>
      </w:tr>
    </w:tbl>
    <w:tbl>
      <w:tblPr>
        <w:tblW w:w="4375" w:type="dxa"/>
        <w:jc w:val="left"/>
        <w:tblInd w:w="0" w:type="dxa"/>
        <w:tblCellMar>
          <w:top w:w="0" w:type="dxa"/>
          <w:left w:w="0" w:type="dxa"/>
          <w:bottom w:w="0" w:type="dxa"/>
          <w:right w:w="0" w:type="dxa"/>
        </w:tblCellMar>
      </w:tblPr>
      <w:tblGrid>
        <w:gridCol w:w="60"/>
        <w:gridCol w:w="110"/>
        <w:gridCol w:w="42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20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obtaining regulatory approval to commence a trial;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reaching agreement on acceptable terms with prospective contract research organizations, or CROs, and clinical trial sites, the terms of which can be subject to extensive negotiation and may vary significantly among different CROs and trial sites; </w:t>
            </w:r>
          </w:p>
        </w:tc>
      </w:tr>
    </w:tbl>
    <w:tbl>
      <w:tblPr>
        <w:tblW w:w="5620" w:type="dxa"/>
        <w:jc w:val="left"/>
        <w:tblInd w:w="0" w:type="dxa"/>
        <w:tblCellMar>
          <w:top w:w="0" w:type="dxa"/>
          <w:left w:w="0" w:type="dxa"/>
          <w:bottom w:w="0" w:type="dxa"/>
          <w:right w:w="0" w:type="dxa"/>
        </w:tblCellMar>
      </w:tblPr>
      <w:tblGrid>
        <w:gridCol w:w="60"/>
        <w:gridCol w:w="110"/>
        <w:gridCol w:w="54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4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obtaining institutional review board, or IRB, approval at each site; </w:t>
            </w:r>
          </w:p>
        </w:tc>
      </w:tr>
    </w:tbl>
    <w:tbl>
      <w:tblPr>
        <w:tblW w:w="4315" w:type="dxa"/>
        <w:jc w:val="left"/>
        <w:tblInd w:w="0" w:type="dxa"/>
        <w:tblCellMar>
          <w:top w:w="0" w:type="dxa"/>
          <w:left w:w="0" w:type="dxa"/>
          <w:bottom w:w="0" w:type="dxa"/>
          <w:right w:w="0" w:type="dxa"/>
        </w:tblCellMar>
      </w:tblPr>
      <w:tblGrid>
        <w:gridCol w:w="60"/>
        <w:gridCol w:w="110"/>
        <w:gridCol w:w="41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1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recruiting suitable patients to participate in a trial; </w:t>
            </w:r>
          </w:p>
        </w:tc>
      </w:tr>
    </w:tbl>
    <w:tbl>
      <w:tblPr>
        <w:tblW w:w="5920" w:type="dxa"/>
        <w:jc w:val="left"/>
        <w:tblInd w:w="0" w:type="dxa"/>
        <w:tblCellMar>
          <w:top w:w="0" w:type="dxa"/>
          <w:left w:w="0" w:type="dxa"/>
          <w:bottom w:w="0" w:type="dxa"/>
          <w:right w:w="0" w:type="dxa"/>
        </w:tblCellMar>
      </w:tblPr>
      <w:tblGrid>
        <w:gridCol w:w="60"/>
        <w:gridCol w:w="110"/>
        <w:gridCol w:w="57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7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having patients complete a trial or return for post-treatment follow-up; </w:t>
            </w:r>
          </w:p>
        </w:tc>
      </w:tr>
    </w:tbl>
    <w:tbl>
      <w:tblPr>
        <w:tblW w:w="5710" w:type="dxa"/>
        <w:jc w:val="left"/>
        <w:tblInd w:w="0" w:type="dxa"/>
        <w:tblCellMar>
          <w:top w:w="0" w:type="dxa"/>
          <w:left w:w="0" w:type="dxa"/>
          <w:bottom w:w="0" w:type="dxa"/>
          <w:right w:w="0" w:type="dxa"/>
        </w:tblCellMar>
      </w:tblPr>
      <w:tblGrid>
        <w:gridCol w:w="60"/>
        <w:gridCol w:w="110"/>
        <w:gridCol w:w="55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54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clinical sites deviating from trial protocol or dropping out of a trial; </w:t>
            </w:r>
          </w:p>
        </w:tc>
      </w:tr>
    </w:tbl>
    <w:tbl>
      <w:tblPr>
        <w:tblW w:w="6025" w:type="dxa"/>
        <w:jc w:val="left"/>
        <w:tblInd w:w="0" w:type="dxa"/>
        <w:tblCellMar>
          <w:top w:w="0" w:type="dxa"/>
          <w:left w:w="0" w:type="dxa"/>
          <w:bottom w:w="0" w:type="dxa"/>
          <w:right w:w="0" w:type="dxa"/>
        </w:tblCellMar>
      </w:tblPr>
      <w:tblGrid>
        <w:gridCol w:w="60"/>
        <w:gridCol w:w="110"/>
        <w:gridCol w:w="58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8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addressing patient safety concerns that arise during the course of a trial;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3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addressing any conflicts with new or existing laws or regulations; </w:t>
            </w:r>
          </w:p>
        </w:tc>
      </w:tr>
    </w:tbl>
    <w:tbl>
      <w:tblPr>
        <w:tblW w:w="4330" w:type="dxa"/>
        <w:jc w:val="left"/>
        <w:tblInd w:w="0" w:type="dxa"/>
        <w:tblCellMar>
          <w:top w:w="0" w:type="dxa"/>
          <w:left w:w="0" w:type="dxa"/>
          <w:bottom w:w="0" w:type="dxa"/>
          <w:right w:w="0" w:type="dxa"/>
        </w:tblCellMar>
      </w:tblPr>
      <w:tblGrid>
        <w:gridCol w:w="60"/>
        <w:gridCol w:w="110"/>
        <w:gridCol w:w="41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1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adding a sufficient number of clinical trial sites; or </w:t>
            </w:r>
          </w:p>
        </w:tc>
      </w:tr>
    </w:tbl>
    <w:tbl>
      <w:tblPr>
        <w:tblW w:w="9610" w:type="dxa"/>
        <w:jc w:val="left"/>
        <w:tblInd w:w="0" w:type="dxa"/>
        <w:tblCellMar>
          <w:top w:w="0" w:type="dxa"/>
          <w:left w:w="0" w:type="dxa"/>
          <w:bottom w:w="0" w:type="dxa"/>
          <w:right w:w="0" w:type="dxa"/>
        </w:tblCellMar>
      </w:tblPr>
      <w:tblGrid>
        <w:gridCol w:w="60"/>
        <w:gridCol w:w="110"/>
        <w:gridCol w:w="94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44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manufacturing sufficient quantities of our single-agent and combination therapy candidates for use in clinical trials.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at which such trials are being conducted, by a data monitoring committee, or DMC, for such trial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experience delays in the completion of any clinical trial of our single-agent and combination therapy candidates or the termination of any such clinical trial, the commercial prospects of our single-agent and combination therapy candidates may be harmed, and our ability to generate drug revenues from any of these single-agent and combination therapy candidates will be delayed or not realized at all. In addition, any delays in completing our clinical trials will increase our costs, slow down our single-agent and combination therapy candidate development and approval process and jeopardize our ability to commence drug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single-agent and combination therapy candidates.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encounter difficulties or delays enrolling patients in our clinical trials, our clinical development activities could be delayed or otherwise adversely affected.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be able to initiate or continue our planned clinical trials for our single-agent and combination therapy candidates if we are unable to identify and enroll a sufficient number of eligible patients to participate in these trials as required by the FDA or comparable foreign regulatory authority.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single-agent or combination therapy candidate being studied in relation to other available therapies, including any new drugs that may be approved for the indications we are investigating.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 </w:t>
      </w:r>
    </w:p>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3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patient eligibility criteria defined in the protocol;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7885" w:type="dxa"/>
        <w:jc w:val="left"/>
        <w:tblInd w:w="0" w:type="dxa"/>
        <w:tblCellMar>
          <w:top w:w="0" w:type="dxa"/>
          <w:left w:w="0" w:type="dxa"/>
          <w:bottom w:w="0" w:type="dxa"/>
          <w:right w:w="0" w:type="dxa"/>
        </w:tblCellMar>
      </w:tblPr>
      <w:tblGrid>
        <w:gridCol w:w="60"/>
        <w:gridCol w:w="110"/>
        <w:gridCol w:w="77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71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size of the patient population required for analysis of the clinical trial’s primary endpoints; </w:t>
            </w:r>
          </w:p>
        </w:tc>
      </w:tr>
    </w:tbl>
    <w:tbl>
      <w:tblPr>
        <w:tblW w:w="3580" w:type="dxa"/>
        <w:jc w:val="left"/>
        <w:tblInd w:w="0" w:type="dxa"/>
        <w:tblCellMar>
          <w:top w:w="0" w:type="dxa"/>
          <w:left w:w="0" w:type="dxa"/>
          <w:bottom w:w="0" w:type="dxa"/>
          <w:right w:w="0" w:type="dxa"/>
        </w:tblCellMar>
      </w:tblPr>
      <w:tblGrid>
        <w:gridCol w:w="60"/>
        <w:gridCol w:w="110"/>
        <w:gridCol w:w="34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4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proximity of patients to clinical sites; </w:t>
            </w:r>
          </w:p>
        </w:tc>
      </w:tr>
    </w:tbl>
    <w:tbl>
      <w:tblPr>
        <w:tblW w:w="2680" w:type="dxa"/>
        <w:jc w:val="left"/>
        <w:tblInd w:w="0" w:type="dxa"/>
        <w:tblCellMar>
          <w:top w:w="0" w:type="dxa"/>
          <w:left w:w="0" w:type="dxa"/>
          <w:bottom w:w="0" w:type="dxa"/>
          <w:right w:w="0" w:type="dxa"/>
        </w:tblCellMar>
      </w:tblPr>
      <w:tblGrid>
        <w:gridCol w:w="60"/>
        <w:gridCol w:w="110"/>
        <w:gridCol w:w="25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5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design of the clinical trial; </w:t>
            </w:r>
          </w:p>
        </w:tc>
      </w:tr>
    </w:tbl>
    <w:tbl>
      <w:tblPr>
        <w:tblW w:w="8170" w:type="dxa"/>
        <w:jc w:val="left"/>
        <w:tblInd w:w="0" w:type="dxa"/>
        <w:tblCellMar>
          <w:top w:w="0" w:type="dxa"/>
          <w:left w:w="0" w:type="dxa"/>
          <w:bottom w:w="0" w:type="dxa"/>
          <w:right w:w="0" w:type="dxa"/>
        </w:tblCellMar>
      </w:tblPr>
      <w:tblGrid>
        <w:gridCol w:w="60"/>
        <w:gridCol w:w="110"/>
        <w:gridCol w:w="80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0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recruit clinical trial investigators with the appropriate competencies and experience;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clinicians’ and patients’ perceptions as to the potential advantages of the single-agent or combination therapy candidate being studied in relation to other available therapies, including any new drugs that may be approved for the indications we are investigating; </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3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obtain and maintain patient informed consents; and </w:t>
            </w:r>
          </w:p>
        </w:tc>
      </w:tr>
    </w:tbl>
    <w:tbl>
      <w:tblPr>
        <w:tblW w:w="7555" w:type="dxa"/>
        <w:jc w:val="left"/>
        <w:tblInd w:w="0" w:type="dxa"/>
        <w:tblCellMar>
          <w:top w:w="0" w:type="dxa"/>
          <w:left w:w="0" w:type="dxa"/>
          <w:bottom w:w="0" w:type="dxa"/>
          <w:right w:w="0" w:type="dxa"/>
        </w:tblCellMar>
      </w:tblPr>
      <w:tblGrid>
        <w:gridCol w:w="60"/>
        <w:gridCol w:w="110"/>
        <w:gridCol w:w="73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3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risk that patients enrolled in clinical trials will drop out of the trials before completion.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our clinical trials will compete with other clinical trials for single-agent and combination therapy candidates that are in the same therapeutic areas as our single-agent and combination therapy candidates, and this competition will reduce the number and types of patients available to us, because some patients who might have opted to enroll in our trials may instead opt to enroll in a trial being conducted by one of our competitors.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Delays in patient enrollment may result in increased costs or may affect the timing or outcome of the planned clinical trials, which could prevent completion of these trials and adversely affect our ability to advance the development of our single-agent and combination therapy candidates.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face significant competition for our drug discovery and development efforts in an environment of rapid technological and scientific change, and our single-agent and combination therapy candidates, if approved, will face significant competition, which may prevent us from achieving significant market penetration. Many of our competitors have significantly greater resources than we do, and we may not be able to successfully compete.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pharmaceutical, biopharmaceutical and biotechnology industries in particular are characterized by rapidly advancing technologies, intense competition and a strong emphasis on developing proprietary therapeutics. Numerous companies are engaged in the development, patenting, manufacturing and marketing of healthcare products competitive with those that we are developing. We face competition from a number of sources, such as pharmaceutical, biopharmaceutical and biotechnology companies, generic drug companies and academic and research institutions.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aware of both pharmaceutical and biotechnology companies with development programs in NASH. Large pharmaceutical companies participating in the development of NASH treatments include, but are not limited to, AbbVie, Inc., Amgen Inc., AstraZeneca PLC/MedImmune LLC, Bayer AG, Boehringer Ingelheim, Bristol-Myers Squibb Company, Eisai, Inc., Eli Lilly and Company, Gilead Sciences, Inc., GlaxoSmithKline plc, Johnson &amp; Johnson, Merck &amp; Co., Inc., Novartis Pharmaceuticals Corp., Novo Nordisk A/S, Pfizer Inc., Roche Holding AG, Sanofi, Sumitomo Dainippon Pharma Co., Ltd. and Takeda Pharmaceutical Co., Ltd.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relation to TERN-101, companies conducting NASH clinical trials with FXR agonists include AbbVie, Inc., Enanta Pharmaceuticals, Inc., ENYO Pharma SA, Gilead Sciences, Inc., Intercept Pharmaceuticals, Inc., Metacrine, Inc. and Novartis Pharmaceuticals Corp.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TERN-201, our VAP-1 inhibitor, is a relatively novel mechanism for the treatment of NASH, and thus has little competition we are aware of. The companies who are currently developing a SSAO/VAP-1 inhibitor with NASH as a lead indication are LG Chem Ltd. and Novo Nordisk A/S.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 regards to TERN-501, companies conducting NASH clinical trials with THR-β agonists include Ascletis Pharma Inc., Madrigal Pharmaceuticals, Inc. and Viking Therapeutics, Inc.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pharmaceutical and biotechnology companies who are developing clinical-stage drugs to treat NASH using mechanisms not mentioned above include 89Bio, Inc., Akero Therapeutics, Inc., Arrowhead Pharmaceuticals, Inc., Axcella Health, Inc., Carmot Therapeutics, Inc., Cirius Therapeutics, Inc., CohBar, Inc.,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Coherus Biosciences Inc., Corcept Therapeutics, Inc., CymaBay Therapeutics, Inc., Esperion Therapeutics, Inc., Galectin Therapeutics Inc., Galmed Pharmaceuticals Ltd., Hanmi Pharmaceutical Co., Ltd., Inventiva Pharma SA, Ionis Pharmaceuticals, Inc., MediciNova, Inc., NGM Biopharmaceuticals, Inc., NorthSea Therapeutics, Inc., Pliant Therapeutics, Inc., Poxel SA, Sagimet Biosciences, Inc., T3D Therapeutics, Inc. and Zydus Cadila Healthcare.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It is also probable that the number of companies seeking to develop drugs and therapies for the treatment of serious metabolic diseases, such as NASH, will increase.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Many of our competitors have greater financial resources, marketing capabilities, sales forces, manufacturing capabilities, research and development capabilities, clinical trial expertise, intellectual property portfolios, experience in obtaining patents and regulatory approvals for drug candidates and other resources than we do. Some of the companies also have a broad range of other product offerings, large direct sales forces and long-term customer relationships with our target physicians, which could inhibit our market penetration efforts. Mergers and acquisitions in the pharmaceutical,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alternative treatments that may be approved and offered by competitors in the future may be available at lower prices and may offer greater efficacy or better safety profiles. Furthermore, currently approved products could be discovered to have application for the intended indication of our single-agent and combination therapy candidates, which could give such products significant regulatory and market timing advantages over any of our single-agent and combination therapy candidates. Our competitors also may obtain FDA, European Medicines Agency, or EMA, or other regulatory approval for their products more rapidly than we may obtain approval for ours and may obtain orphan product exclusivity from the FDA for indications our single-agent and combination therapy candidates are targeting, which could result in our competitors establishing a strong market position before we are able to enter the market. For additional information regarding our competition, see the section of this Annual Report on Form 10-K captioned Item 1. “Business—Competition.”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initially developing single-agent and combination therapy candidates for the treatment of NASH, an indication for which there is currently no approved therapy in the United States or Europe. There is a heightened risk that we will not be able to gain agreement with regulatory authorities regarding an acceptable development plan, that the outcome of our clinical trials will not be favorable or that, even if favorable, regulatory authorities may not find the results of our clinical trials to be sufficient for marketing approval. This makes it difficult to predict the timing and costs of the clinical development of our single-agent and combination therapy candidates for the treatment of NASH.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research and development efforts are focused on developing our single-agent and combination therapy candidates for the treatment of NASH, an indication for which there is currently no approved therapy in the United States or Europe. The regulatory approval process for novel drug candidates can be more expensive and take longer than for other, better known or extensively studied drug candidates. As other companies are in later stages of clinical trials for their potential NASH therapies, we expect that the path for regulatory approval for NASH therapies may continue to evolve as these other companies refine their regulatory approval strategies and interact with regulatory authorities. Such evolution may impact our future clinical trial designs, including trial size and approval endpoints, in ways that we cannot predict today.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the FDA generally requires two adequate and well-controlled pivotal clinical trials to approve an NDA. Furthermore, for full approval of an NDA, the FDA requires a demonstration of efficacy based on a clinical benefit endpoint. The FDA may grant accelerated approval based on a surrogate endpoint reasonably likely to predict clinical benefit. Even though our pivotal clinical trials for a specific indication may achieve their primary endpoints and are reasonably believed by us to be likely to predict clinical benefit, the FDA may not accept the results of such trials or approve our single-agent and combination therapy candidates on an accelerated basis, or at all. It is also possible that the FDA may refuse to accept for filing and review any regulatory application we submit for regulatory approval in the United States. Even if our regulatory application is accepted for review, there may be delays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FDA’s review process and the FDA may determine that such regulatory application does not contain adequate clinical or other data or support the approval of the single-agent and combination therapy candidate. In such a case, the FDA may issue a complete response letter that may require that we conduct and/or complete additional clinical trials and preclinical studies or provide additional information or data before it will reconsider an application for approval. Any such requirements may be substantial, expensive and time-consuming, and there is no guarantee that we will continue to pursue such application or that the FDA will ultimately decide that any such application supports the approval of the single-agent or combination therapy candidate. As an example, the FDA recently returned a complete response to an NDA submitted by Intercept Pharmaceuticals, Inc. for the drug candidate obeticholic acid, or OCA, for the treatment of NASH. The efficacy of OCA for the treatment of NASH was based on the surrogate histologic endpoint of improvement of fibrosis as shown by liver biopsy with no worsening of NASH in lieu of clinical outcomes in the NASH patients enrolled in the trial, such as overall survival and time to liver transplant. Such decisions may impact our future clinical trial designs, including trial size and approval endpoints, in ways that we cannot predict today. Furthermore, the FDA may also refer any regulatory application to an advisory committee for review and recommendation as to whether, and under what conditions, the application should be approved. While the FDA is not bound by the recommendation of an advisory committee, it considers such recommendations carefully when making decisions. Delay or failure to obtain, or unexpected costs in obtaining, the regulatory approval necessary to bring a potential product to market could decrease our ability to generate sufficient revenue to maintain our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receive accelerated approval for any of our single-agent or combination therapy candidates, we anticipate we will be required to conduct or complete a post-approval clinical outcomes trial to confirm the clinical benefit of such single-agent and combination therapy candidates by demonstrating the correlation of the surrogate endpoint therapeutic response in patients with a significant reduction in adverse clinical outcomes over time. There can be no assurance that the clinical outcomes trial will confirm that the surrogate endpoint used as the basis of the regulatory submissions we make will eventually show an adequate correlation with clinical outcomes.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anticipated development costs would likely increase if development of any current or future single-agent or combination therapy candidate is delayed because we are required by the FDA to perform studies or trials in addition to, or different from, those that we currently conduct or anticipate. Because of the numerous risks and uncertainties associated with pharmaceutical product development, we are unable to predict the timing or amount of any increase in our anticipated development costs.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may evaluate our single-agent and combination therapy candidates in combination with one or more therapies that have not yet been approved for marketing by the FDA, EMA or similar foreign regulatory authorities. We may not be able to market and sell any single-agent or combination therapy candidate we develop in combination with an unapproved therapy if that unapproved therapy does not ultimately obtain marketing approval. In addition, unapproved therapies face the same risks described with respect to our single-agent and combination therapy candidates currently in development, including the potential for serious adverse effects, delay in their clinical trials and lack of FDA or EMA approval. If the FDA, EMA or similar foreign regulatory authorities do not approve these other therapies or revoke their approval of, or if safety, efficacy, manufacturing, or supply issues arise with, the therapies we choose to evaluate in combination with our single-agent and combination therapy candidates, we may be unable to obtain approval of or market any such single-agent or combination therapy candidate.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The lack of widely-accepted non-invasive methods for the diagnosis of NASH is likely to present a major challenge to the market penetration of our single-agent and combination therapy candidates for the treatment of NASH.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Liver biopsy is the standard approach for the diagnosis of inflammation and fibrosis associated with NASH. However, the procedure-related morbidity and, in rare cases, mortality, sample errors, costs, patient discomfort and thus lack of patient interest in undergoing the procedure limit its use. As such, only patients with a high risk of NASH, which includes patients with metabolic syndrome and an indication of non-alcoholic fatty liver disease, or NAFLD, are generally referred for liver biopsy. Because NASH tends to be asymptomatic until the disease progresses, many individuals with NASH remain undiagnosed until the disease has reached its late stages. The lack of widely-accepted non-invasive methods for the diagnosis of NASH is likely to present a major challenge to the market penetration of our single-agent and combination therapy candidates for the treatment of NASH, if ever commercialized, as many practitioners and patients may not be aware that a patient suffers from NASH and requires treatment. As such, use of our single-agent and combination therapy candidates for the treatment of NASH might not be as wide-spread as our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actual target market and this may limit the commercial potential of such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further challenge to the market penetration for our NASH single-agent and combination therapy candidates is that currently a liver biopsy is the standard approach for measuring improvement in NASH patients. Because it would be impractical to subject all patients that take our single-agent and combination therapy candidates, if approved, to regular and repeated liver biopsies, it will be difficult to demonstrate effectiveness to practitioners and patients unless and until widely-accepted non-invasive methods for the diagnosis and monitoring of NASH become available in clinical practice and clinical trials, as to which there can be no assurance.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non-invasive diagnostic approaches are being advanced, their use in the diagnosis of NASH and monitoring of response to treatment has not been broadly recommended in professional treatment guidelines. Moreover, some diagnostics in development have not yet been clinically validated, have uncertain timetables for clinical validation, and may also be subject to regulation by FDA or other regulatory authorities as medical devices and may require premarket clearance or approval.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single-agent and combination therapy candidates may cause undesirable side effects or have other properties that could delay or prevent their regulatory approval, cause us to suspend or discontinue clinical trials, limit the commercial profile of an approved label, or result in significant negative consequences following marketing approval, if any.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Undesirable side effects caused by our single-agent and combination therapy candidates could cause us or regulatory authorities to interrupt, delay or halt clinical trials and could result in a more restrictive label or the delay or denial of regulatory approval by the FDA or comparable foreign regulatory authorities. Results of our clinical trials could reveal a high and unacceptable severity and prevalence of side effects or unexpected characteristics. To date, both TERN-101 and TERN-201 have been well-tolerated though we did observe transient elevations in transaminases in one of our Phase 1 clinical trials of TERN-101. Drugs with similar mechanism of actions to those we are developing have shown tolerability issues, including pruritus and adverse lipid changes in other FXR agonists, non-selective MAO inhibition in other VAP-1 inhibitors and potential cardiac toxicity in other THR-β agonists. As a result, it is possible that our drug candidates will display similar safety and tolerability issues and adverse events when evaluated in longer clinical trials in larger patient populations despite the results we have observed in our clinical trials to date.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unacceptable side effects arise in the development of our single-agent and combination therapy candidates, we, the IRBs at the institutions in which our studies are conducted or the DMC could recommend suspension or termination of our clinical trials or the FDA or comparable foreign regulatory authorities could order us to cease clinical trials or deny approval of our single-agent and combination therapy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Furthermore, we may be required to expend time and incur costs to train medical personnel using our single-agent and combination therapy candidates to understand the side effect profiles for our clinical trials and upon any commercialization of any of our single-agent or combination therapy candidates. Inadequate training in recognizing or managing the potential side effects of our single-agent and combination therapy candidates could result in patient injury or death. Any of these occurrences may harm our business, financial condition and prospects significantly.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if any of our single-agent or combination therapy candidates receives marketing approval, and we or others later identify undesirable side effects caused by such drugs, a number of potentially significant negative consequences could result,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be forced to suspend marketing of that single-agent or combination therapy, or decide to remove the single-agent or combination therapy from the marketplace; </w:t>
            </w:r>
          </w:p>
        </w:tc>
      </w:tr>
    </w:tbl>
    <w:tbl>
      <w:tblPr>
        <w:tblW w:w="8905" w:type="dxa"/>
        <w:jc w:val="left"/>
        <w:tblInd w:w="0" w:type="dxa"/>
        <w:tblCellMar>
          <w:top w:w="0" w:type="dxa"/>
          <w:left w:w="0" w:type="dxa"/>
          <w:bottom w:w="0" w:type="dxa"/>
          <w:right w:w="0" w:type="dxa"/>
        </w:tblCellMar>
      </w:tblPr>
      <w:tblGrid>
        <w:gridCol w:w="60"/>
        <w:gridCol w:w="110"/>
        <w:gridCol w:w="87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7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regulatory authorities may withdraw or change their approvals of that single-agent or combination therapy;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000000"/>
                <w:sz w:val="20"/>
              </w:rPr>
              <w:t>regulatory authorities may require additional warnings on the label or limit access of that single-agent or combination therapy to selective specialized centers with additional safety reporting and with requirements that patients be geographically close to these centers for all or part of their treatment;</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be required to send “dear doctor” letters to treatment providers or create a medication guide outlining the risks of the single-agent or combination therapy for patients, or to conduct post-marketing studies; </w:t>
            </w:r>
          </w:p>
        </w:tc>
      </w:tr>
    </w:tbl>
    <w:tbl>
      <w:tblPr>
        <w:tblW w:w="7960" w:type="dxa"/>
        <w:jc w:val="left"/>
        <w:tblInd w:w="0" w:type="dxa"/>
        <w:tblCellMar>
          <w:top w:w="0" w:type="dxa"/>
          <w:left w:w="0" w:type="dxa"/>
          <w:bottom w:w="0" w:type="dxa"/>
          <w:right w:w="0" w:type="dxa"/>
        </w:tblCellMar>
      </w:tblPr>
      <w:tblGrid>
        <w:gridCol w:w="60"/>
        <w:gridCol w:w="110"/>
        <w:gridCol w:w="77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7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be required to change the way the single-agent or combination therapy is administered;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could be subject to fines, injunctions, or the imposition of criminal or civil penalties, or be sued and held liable for harm caused to subjects or patients; and </w:t>
            </w:r>
          </w:p>
        </w:tc>
      </w:tr>
    </w:tbl>
    <w:tbl>
      <w:tblPr>
        <w:tblW w:w="8440" w:type="dxa"/>
        <w:jc w:val="left"/>
        <w:tblInd w:w="0" w:type="dxa"/>
        <w:tblCellMar>
          <w:top w:w="0" w:type="dxa"/>
          <w:left w:w="0" w:type="dxa"/>
          <w:bottom w:w="0" w:type="dxa"/>
          <w:right w:w="0" w:type="dxa"/>
        </w:tblCellMar>
      </w:tblPr>
      <w:tblGrid>
        <w:gridCol w:w="60"/>
        <w:gridCol w:w="110"/>
        <w:gridCol w:w="82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2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single-agent or combination therapy may become less competitive, and our reputation may suffer.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 foregoing events could prevent us from achieving or maintaining market acceptance of the particular single-agent or combination therapy candidate, if approved, and result in the loss of significant revenues to us, which would materially and adversely affect our results of operations and business.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From time to time, we may also disclose interim data from our clinical trials. Interim, top-line or preliminary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single-agent or combination therapy candidate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single-agent or combination therapy candidate or our business. If the interim, top-line or preliminary data that we report differ from actual results, or if others, including regulatory authorities, disagree with the conclusions reached, our ability to obtain approval for, and commercialize, our single-agent and combination therapy candidates may be harmed, which could harm our business, operating results, prospects or financial condition. </w:t>
      </w:r>
    </w:p>
    <w:p>
      <w:pPr>
        <w:pStyle w:val="TextBody"/>
        <w:spacing w:before="240" w:after="0"/>
        <w:jc w:val="center"/>
        <w:rPr>
          <w:rFonts w:ascii="Times New Roman" w:hAnsi="Times New Roman"/>
          <w:b w:val="false"/>
          <w:i w:val="false"/>
          <w:caps w:val="false"/>
          <w:smallCaps w:val="false"/>
          <w:sz w:val="20"/>
        </w:rPr>
      </w:pPr>
      <w:bookmarkStart w:id="17" w:name="_AEIOULastRenderedPageBreakAEIOU13"/>
      <w:bookmarkEnd w:id="17"/>
      <w:r>
        <w:rPr>
          <w:rFonts w:ascii="Times New Roman" w:hAnsi="Times New Roman"/>
          <w:b w:val="false"/>
          <w:i w:val="false"/>
          <w:caps w:val="false"/>
          <w:smallCaps w:val="false"/>
          <w:sz w:val="20"/>
        </w:rPr>
        <w:t>58</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The regulatory approval process is lengthy, expensive and uncertain, and we may be unable to obtain regulatory approval for our single-agent and combination therapy candidates under applicable regulatory requirements. The denial or delay of any such approval would delay commercialization of our single-agent and combination therapy candidates and adversely impact our ability to generate revenue, our business and our results of operations.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development, research, testing, manufacturing, labeling, approval, selling, import, export, marketing, promotion and distribution of drug products are subject to extensive and evolving regulation by federal, state and local governmental authorities in the United States, principally the FDA, and by foreign regulatory authorities, which regulations differ from country to country. Neither we nor any future collaborator is permitted to market any of our single-agent or combination therapy candidates in the United States until we receive regulatory approval of an NDA from the FDA.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regulatory approval of an NDA can be a lengthy, expensive and uncertain process. Prior to obtaining approval to commercialize a single-agent or combination therapy candidate in the United States or abroad, we or our collaborators must demonstrate with substantial evidence from well-controlled clinical trials, and to the satisfaction of the FDA or other foreign regulatory authorities, that such single-agent and combination therapy candidates are safe and effective for their intended uses. The number of nonclinical studies and clinical trials that will be required for regulatory approval varies depending on the single-agent or combination therapy candidate, the disease or condition that the single-agent or combination therapy candidate is designed to address, and the regulations applicable to any particular single-agent or combination therapy candidate.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Results from nonclinical studies and clinical trials can be interpreted in different ways. Even if we believe the nonclinical or clinical data for our single-agent and combination therapy candidates are promising, such data may not be sufficient to support approval by the FDA and other regulatory authorities. Administering single-agent and combination therapy candidates to humans may produce undesirable side effects, which could interrupt, delay or halt clinical trials and result in the FDA or other regulatory authorities denying approval of a single-agent or combination therapy candidate for any or all indications. The FDA may also require us to conduct additional studies or trials for our single-agent and combination therapy candidates either prior to or post-approval, such as additional clinical pharmacology studies or safety or efficacy studies or trials, or it may object to elements of our clinical development program such as the primary endpoints or the number of subjects in our clinical trials.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or any foreign regulatory bodies can delay, limit or deny approval of our single-agent and combination therapy candidates or require us to conduct additional nonclinical or clinical testing or abandon a program for many reasons,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FDA or the applicable foreign regulatory authority’s disagreement with the design or implementation of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negative or ambiguous results from our clinical trials or results that may not meet the level of statistical significance required by the FDA or comparable foreign regulatory authorities for approval;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serious and unexpected drug-related side effects experienced by participants in our clinical trials or by individuals using drugs or combination therapies similar to our single-agent or combination therapy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inability to demonstrate to the satisfaction of the FDA or the applicable foreign regulatory authority that our single-agent and combination therapy candidates are safe and effective for the proposed indication;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FDA’s or the applicable foreign regulatory authority’s disagreement with the interpretation of data from nonclinical studies or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inability to demonstrate the clinical and other benefits of our single-agent and combination therapy candidates outweigh any safety or other perceived risks; </w:t>
            </w:r>
          </w:p>
        </w:tc>
      </w:tr>
    </w:tbl>
    <w:tbl>
      <w:tblPr>
        <w:tblW w:w="10045" w:type="dxa"/>
        <w:jc w:val="left"/>
        <w:tblInd w:w="0" w:type="dxa"/>
        <w:tblCellMar>
          <w:top w:w="0" w:type="dxa"/>
          <w:left w:w="0" w:type="dxa"/>
          <w:bottom w:w="0" w:type="dxa"/>
          <w:right w:w="0" w:type="dxa"/>
        </w:tblCellMar>
      </w:tblPr>
      <w:tblGrid>
        <w:gridCol w:w="60"/>
        <w:gridCol w:w="110"/>
        <w:gridCol w:w="98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8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FDA’s or the applicable foreign regulatory authority’s requirement for additional nonclinical studies or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FDA’s or the applicable foreign regulatory authority’s disagreement regarding the formulation, labeling and/or the specifications of our single-agent and combination therapy candidates;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000000"/>
                <w:sz w:val="20"/>
              </w:rPr>
              <w:t>the FDA’s or the applicable foreign regulatory authority’s failure to approve the manufacturing processes or facilities of third-party manufacturers with which we contract;</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potential for approval policies or regulations of the FDA or the applicable foreign regulatory authorities to significantly change in a manner rendering our clinical data insufficient for approval; 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FDA or the applicable foreign regulatory authority’s disagreement with the sufficiency of the clinical, non-clinical and/or quality data in the NDA or comparable marketing authorization application.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Of the large number of drugs in development, only a small percentage successfully complete the FDA or other regulatory approval processes and are commercialized. The lengthy development and approval process as well as the unpredictability of future clinical trial results may result in our failing to obtain regulatory approval to market our single-agent and combination therapy candidates, which would significantly harm our business, financial condition, results of operations and prospects.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eventually complete clinical testing and receive approval of an NDA or foreign marketing application for our single-agent and combination therapy candidates, the FDA or the applicable foreign regulatory authority may grant approval contingent on the performance of costly additional clinical trials, including Phase 4 clinical trials, and/or in the case of the FDA, the implementation of a Risk Evaluation and Mitigation Strategy, or REMS, which may be required to ensure safe use of the drug after approval. The FDA or the applicable foreign regulatory authority also may approve a single-agent or combination therapy candidate for a more limited indication or a narrower patient population than we originally requested, and the FDA or applicable foreign regulatory authority may not approve the labeling that we believe is necessary or desirable for the successful commercialization of a single-agent or combination therapy candidate. Any delay in obtaining, or inability to obtain, applicable regulatory approval, or the failure to receive marketing authorization with a label that allows us to market the single-agent or combination therapy candidate as we desire, would delay, prevent or otherwise limit commercialization of that single-agent or combination therapy candidate and would materially adversely impact our business and prospects. </w:t>
      </w:r>
    </w:p>
    <w:p>
      <w:pPr>
        <w:pStyle w:val="TextBody"/>
        <w:spacing w:before="360" w:after="0"/>
        <w:jc w:val="both"/>
        <w:rPr>
          <w:rFonts w:ascii="Times New Roman" w:hAnsi="Times New Roman"/>
          <w:b/>
          <w:i/>
          <w:caps w:val="false"/>
          <w:smallCaps w:val="false"/>
          <w:sz w:val="20"/>
        </w:rPr>
      </w:pPr>
      <w:bookmarkStart w:id="18" w:name="_Hlk67519742"/>
      <w:bookmarkEnd w:id="18"/>
      <w:r>
        <w:rPr>
          <w:rFonts w:ascii="Times New Roman" w:hAnsi="Times New Roman"/>
          <w:b/>
          <w:i/>
          <w:caps w:val="false"/>
          <w:smallCaps w:val="false"/>
          <w:sz w:val="20"/>
        </w:rPr>
        <w:t xml:space="preserve">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or other third parties with whom we conduct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has been and could continue to be adversely affected by the effects of the recent and evolving COVID-19 pandemic, which was declared by the World Health Organization as a global pandemic. As the COVID-19 pandemic continues, we may experience ongoing disruptions that could severely impact our business and clinical trials, including: </w:t>
      </w:r>
    </w:p>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1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delays or difficulties in enrolling patients in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delays or difficulties in clinical site initiation, including difficulties in recruiting clinical site investigators and clinical site staff;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delays in clinical sites receiving the supplies and materials needed to conduct our clinical trials, including interruption in global shipping that may affect the transport of clinical trial materials;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changes in local regulations as part of a response to the COVID-19 outbreak which may require us to change the ways in which our clinical trials are conducted, which may result in unexpected costs, or to discontinue the clinical trials altogether;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diversion of healthcare resources away from the conduct of clinical trials, including the diversion of hospitals serving as our clinical trial sites and hospital staff supporting the conduct of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000000"/>
                <w:sz w:val="20"/>
              </w:rPr>
              <w:t>the interruption or delays in the operations of the FDA or other regulatory authorities, which may impact review and approval timelines;</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risk that participants enrolled in our clinical trials or study staff conducting the clinical trial visits will acquire COVID-19 while the clinical trial is ongoing, which could impact the results of the clinical trial, including by increasing the number of observed adverse events, or the ability to complete study visits and collect data; and </w:t>
            </w:r>
          </w:p>
        </w:tc>
      </w:tr>
    </w:tbl>
    <w:tbl>
      <w:tblPr>
        <w:tblW w:w="6685" w:type="dxa"/>
        <w:jc w:val="left"/>
        <w:tblInd w:w="0" w:type="dxa"/>
        <w:tblCellMar>
          <w:top w:w="0" w:type="dxa"/>
          <w:left w:w="0" w:type="dxa"/>
          <w:bottom w:w="0" w:type="dxa"/>
          <w:right w:w="0" w:type="dxa"/>
        </w:tblCellMar>
      </w:tblPr>
      <w:tblGrid>
        <w:gridCol w:w="60"/>
        <w:gridCol w:w="110"/>
        <w:gridCol w:w="65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51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refusal of the FDA to accept data from clinical trials in affected geographies.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and other disruptions in our operations and the global economy could negatively impact our business, operating results and financial condition.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clinical trials have been, and may in the future be, affected by the COVID-19 pandemic. For example, the COVID-19 pandemic may impact patient enrollment, visits or continued participation in our ongoing trials, including our Phase 2a clinical trial of TERN-101 (LIFT Study) and our Phase 1 clinical trial of TERN-501, and our planned trials, such as our Phase 1b clinical trial for TERN-201. In particular, some sites have in the past or may in the future pause enrollment to focus on, and direct resources to, COVID-19, while at other sites, patients may choose not to enroll or continue participating in the clinical trial as a result of the pandemic. In addition, patient visits to medical providers in the United States have slowed as a result of the COVID-19 pandemic. Further, according to the Centers for Disease Control and Prevention, people who have serious chronic medical conditions are at higher risk of getting very sick from COVID-19. As a result, potential patients in our ongoing or planned clinical trials may choose to not enroll, not participate in follow-up clinical visits or drop out of the trials as a precaution against contracting COVID-19. Further, some patients may not be able or willing to comply with clinical trial protocols if quarantines impede patient movement or interrupts healthcare services.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unable to predict with confidence the duration of such patient enrollment delays and difficulties. If patient enrollment is delayed for an extended period of time, our clinical trials could be delayed or otherwise adversely affected. Similarly, our ability to recruit and retain principal investigators and site staff who, as healthcare providers, may have heightened exposure to COVID-19, may be adversely impacted.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ongoing or planned clinical trials may also be impacted by interruptions or delays in the operations of the FDA and comparable foreign regulatory authorities. For example, we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initiated our clinical trial protocols to enable remote visits to mitigate any potential impacts as a result of the COVID-19 pandemic. Many of these adjustments are new and untested, may not be effective, may affect the integrity of data collected, and may have unforeseen effects on the progress and completion of our clinical trials and the findings from such clinical trials.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may encounter a shortage in supplies of, or in delays in shipping, our study drug or other components of the clinical trial vital for successful conduct of the trial. Further, the successful conduct of our LIFT Study and our other clinical trials depend on retrieving laboratory, imaging and other data from patients. Any failure by the vendors with which we work with to send us such data could impair the progress of such clinical trials. These events could delay our clinical trials, increase the cost of completing our clinical trials and negatively impact the integrity, reliability or robustness of the data from our clinical trials.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quarantines, shelter-in-place and similar government orders, or the perception that such orders, shutdowns or other restrictions on the conduct of business operations could occur, related to COVID-19 or other infectious diseases could impact personnel at our study sites or third-party manufacturing facilities upon which we rely, or the availability or cost of materials, which could disrupt the supply chain for our drug and combination therapy candidates.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our drug and combination therapy candidates or otherwise advancing development of our single-agent and combination therapy candidates may become impaired.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COVID-19 pandemic. As a result, we may face difficulties raising capital through sales of our common stock or such sales may be on unfavorable terms.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COVID-19 and actions taken to reduce its spread continue to rapidly evolve. The extent to which COVID-19 may impede the development of our single-agent and combination therapy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the extent the ongoing COVID-19 pandemic adversely affects our business and results of operations, it may also have the effect of heightening many of the other risks and uncertainties described in this Item 1A. “Risk Factors” section.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received Fast Track designation for TERN-101 and TERN-201 for the treatment of NASH, and we may seek Fast Track designation for some or all of our other single-agent and combination therapy candidates. We may not receive such designation, and even for those single-agent and combination therapy candidates for which we do, it may not lead to a faster development or regulatory review or approval process, and will not increase the likelihood that single-agent and combination therapy candidates will receive marketing approval.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received Fast Track designation from the FDA for TERN-101 and TERN-201 for the treatment of NASH, and we may seek Fast Track designation and priority review for some of our other single-agent and combination therapy candidates. If a drug is intended for the treatment of a serious or life-threatening condition or disease, and nonclinical or clinical data demonstrate the potential to address an unmet medical need, the drug may qualify for FDA Fast Track designation, for which sponsors must apply. The FDA has broad discretion whether or not to grant this designation. Thus, even if we believe a particular single-agent or combination therapy candidate is eligible for this designation, the FDA may decide not to grant it. Moreover, even if we do receive Fast Track designation, we or our collaborators may not experience a faster development process, review or approval compared to conventional FDA procedures. In addition, the FDA may withdraw Fast Track designation if it believes that the designation is no longer supported by data from our clinical development program.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A Breakthrough Therapy designation by the FDA, even if granted for any of our single-agent and combination therapy candidates, may not lead to a faster development or regulatory review or approval process, and it does not increase the likelihood that our single-agent and combination therapy candidates will receive marketing approval.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seek a Breakthrough Therapy designation for one or more of our single-agent and combination therapy candidates if the clinical data support such a designation for one or more single-agent and combination therapy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 candidates that have been designated as breakthrough therapies, interaction and communication between the FDA and the sponsor of the trial can help to identify the most efficient path for clinical development.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Designation as a Breakthrough Therapy is within the discretion of the FDA. Accordingly, even if we believe one of our single-agent or combination therapy candidates meets the criteria for designation as a Breakthrough Therapy, the FDA may disagree and instead determine not to make such designation. In any event, the receipt of a Breakthrough Therapy designation for a single-agent or combination therapy candidate may not result in a faster development process, review or approval compared to drug candidates considered for approval under non-expedited FDA review procedures and does not assure ultimate approval by the FDA. In addition, even if one or more of our single-agent or combination therapy candidates qualify as Breakthrough Therapies, the FDA may later decide that the single-agent or combination therapy no longer meets the conditions for qualification or decide that the time period for FDA review or approval will not be shortened.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regulatory approval of our single-agent and combination therapy candidates in one jurisdiction does not mean that we will be successful in obtaining regulatory approval of our single-agent and combination therapy candidates in other jurisdictions.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and maintaining regulatory approval of our single-agent and combination therapy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single-agent or combination therapy candidate, comparable regulatory authorities in foreign jurisdictions must also approve the manufacturing, marketing and promotion of the single-agent or combination therapy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single-agent or combination therapy candidate must be approved for reimbursement before it can be approved for sale in that jurisdiction. In some cases, the price that we intend to charge for our drugs is also subject to approval.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foreign regulatory approvals and compliance with foreign regulatory requirements could result in significant delays, difficulties and costs for us and could delay or prevent the introduction of our drugs in certain countries. If we fail to comply with the regulatory requirements in international markets and/or receive applicable marketing approvals, our target market will be reduced and our ability to realize the full market potential of our single-agent and combination therapy candidates will be harmed.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Even if we receive regulatory approval of our single-agent and combination therapy candidates, we will be subject to ongoing regulatory obligations and continued regulatory review, which may result in significant additional expense. Additionally, our single-agent and combination therapy candidates, if approved, could be subject to labeling and other restrictions on marketing or withdrawal from the market, and we may be subject to penalties if we fail to comply with regulatory requirements or if we experience unanticipated problems with our single-agent and combination therapy candidates, when and if any of them are approved.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regulatory approvals that we receive for our single-agent and combination therapy candidates may be subject to limitations on the approved indicated uses for which the drug may be marketed or the conditions of approval, or contain requirements for potentially costly post-market testing and surveillance to monitor the safety and efficacy of the single-agent or combination therapy candidate. The FDA may also require us to adopt a REMS to ensure that the benefits of treatment with such single-agent or combination therapy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drug that we develop alone or with collaborators.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if the FDA or a comparable foreign regulatory authority approves a single-agent or combination therapy candidate, the manufacturing, quality control, labeling, packaging, distribution, adverse event reporting, storage, advertising, promotion, import, export and recordkeeping for the approved drug will be subject to extensive and ongoing regulatory requirements. The FDA also requires submissions of safety and other post-marketing information and reports, registration, as well as continued compliance with cGMP requirements and good clinical practice, or GCPs, for any clinical trials that we conduct post-approval. Later discovery of previously unknown problems with a single-agent or combination therapy candidate, including adverse events of unanticipated severity or frequency, or with our third-party manufacturers or manufacturing processes, or failure to comply with regulatory requirements, may result in, among other things: </w:t>
      </w:r>
    </w:p>
    <w:tbl>
      <w:tblPr>
        <w:tblW w:w="3385" w:type="dxa"/>
        <w:jc w:val="left"/>
        <w:tblInd w:w="0" w:type="dxa"/>
        <w:tblCellMar>
          <w:top w:w="0" w:type="dxa"/>
          <w:left w:w="0" w:type="dxa"/>
          <w:bottom w:w="0" w:type="dxa"/>
          <w:right w:w="0" w:type="dxa"/>
        </w:tblCellMar>
      </w:tblPr>
      <w:tblGrid>
        <w:gridCol w:w="60"/>
        <w:gridCol w:w="110"/>
        <w:gridCol w:w="32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21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issue warning letters or untitled letters;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mandate modifications to promotional materials or require us to provide corrective information to healthcare practitioners, or require other restrictions on the labeling or marketing of such drugs;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require us to enter into a consent decree, which can include imposition of various fines, reimbursements for inspection costs, required due dates for specific actions and penalties for noncompliance;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p>
      <w:pPr>
        <w:pStyle w:val="TextBody"/>
        <w:spacing w:before="0" w:after="0"/>
        <w:rPr/>
      </w:pPr>
      <w:r>
        <w:rPr/>
        <w:t> </w:t>
      </w:r>
    </w:p>
    <w:tbl>
      <w:tblPr>
        <w:tblW w:w="6235" w:type="dxa"/>
        <w:jc w:val="left"/>
        <w:tblInd w:w="0" w:type="dxa"/>
        <w:tblCellMar>
          <w:top w:w="0" w:type="dxa"/>
          <w:left w:w="0" w:type="dxa"/>
          <w:bottom w:w="0" w:type="dxa"/>
          <w:right w:w="0" w:type="dxa"/>
        </w:tblCellMar>
      </w:tblPr>
      <w:tblGrid>
        <w:gridCol w:w="60"/>
        <w:gridCol w:w="110"/>
        <w:gridCol w:w="60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06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000000"/>
                <w:sz w:val="20"/>
              </w:rPr>
              <w:t>seek an injunction or impose civil or criminal penalties or monetary fines;</w:t>
            </w:r>
            <w:r>
              <w:rPr>
                <w:b w:val="false"/>
                <w:i w:val="false"/>
                <w:caps w:val="false"/>
                <w:smallCaps w:val="false"/>
                <w:color w:val="000000"/>
              </w:rPr>
              <w:t xml:space="preserve"> </w:t>
            </w:r>
          </w:p>
        </w:tc>
      </w:tr>
    </w:tbl>
    <w:tbl>
      <w:tblPr>
        <w:tblW w:w="4285" w:type="dxa"/>
        <w:jc w:val="left"/>
        <w:tblInd w:w="0" w:type="dxa"/>
        <w:tblCellMar>
          <w:top w:w="0" w:type="dxa"/>
          <w:left w:w="0" w:type="dxa"/>
          <w:bottom w:w="0" w:type="dxa"/>
          <w:right w:w="0" w:type="dxa"/>
        </w:tblCellMar>
      </w:tblPr>
      <w:tblGrid>
        <w:gridCol w:w="60"/>
        <w:gridCol w:w="110"/>
        <w:gridCol w:w="41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11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suspend, withdraw or modify regulatory approval; </w:t>
            </w:r>
          </w:p>
        </w:tc>
      </w:tr>
    </w:tbl>
    <w:tbl>
      <w:tblPr>
        <w:tblW w:w="3985" w:type="dxa"/>
        <w:jc w:val="left"/>
        <w:tblInd w:w="0" w:type="dxa"/>
        <w:tblCellMar>
          <w:top w:w="0" w:type="dxa"/>
          <w:left w:w="0" w:type="dxa"/>
          <w:bottom w:w="0" w:type="dxa"/>
          <w:right w:w="0" w:type="dxa"/>
        </w:tblCellMar>
      </w:tblPr>
      <w:tblGrid>
        <w:gridCol w:w="60"/>
        <w:gridCol w:w="110"/>
        <w:gridCol w:w="38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81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suspend or modify any ongoing clinical trials; </w:t>
            </w:r>
          </w:p>
        </w:tc>
      </w:tr>
    </w:tbl>
    <w:tbl>
      <w:tblPr>
        <w:tblW w:w="6895" w:type="dxa"/>
        <w:jc w:val="left"/>
        <w:tblInd w:w="0" w:type="dxa"/>
        <w:tblCellMar>
          <w:top w:w="0" w:type="dxa"/>
          <w:left w:w="0" w:type="dxa"/>
          <w:bottom w:w="0" w:type="dxa"/>
          <w:right w:w="0" w:type="dxa"/>
        </w:tblCellMar>
      </w:tblPr>
      <w:tblGrid>
        <w:gridCol w:w="60"/>
        <w:gridCol w:w="110"/>
        <w:gridCol w:w="672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72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refuse to approve pending applications or supplements to applications filed by us; </w:t>
            </w:r>
          </w:p>
        </w:tc>
      </w:tr>
    </w:tbl>
    <w:tbl>
      <w:tblPr>
        <w:tblW w:w="8230" w:type="dxa"/>
        <w:jc w:val="left"/>
        <w:tblInd w:w="0" w:type="dxa"/>
        <w:tblCellMar>
          <w:top w:w="0" w:type="dxa"/>
          <w:left w:w="0" w:type="dxa"/>
          <w:bottom w:w="0" w:type="dxa"/>
          <w:right w:w="0" w:type="dxa"/>
        </w:tblCellMar>
      </w:tblPr>
      <w:tblGrid>
        <w:gridCol w:w="60"/>
        <w:gridCol w:w="110"/>
        <w:gridCol w:w="80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0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suspend or impose restrictions on operations, including costly new manufacturing requirements; or </w:t>
            </w:r>
          </w:p>
        </w:tc>
      </w:tr>
    </w:tbl>
    <w:tbl>
      <w:tblPr>
        <w:tblW w:w="8860" w:type="dxa"/>
        <w:jc w:val="left"/>
        <w:tblInd w:w="0" w:type="dxa"/>
        <w:tblCellMar>
          <w:top w:w="0" w:type="dxa"/>
          <w:left w:w="0" w:type="dxa"/>
          <w:bottom w:w="0" w:type="dxa"/>
          <w:right w:w="0" w:type="dxa"/>
        </w:tblCellMar>
      </w:tblPr>
      <w:tblGrid>
        <w:gridCol w:w="60"/>
        <w:gridCol w:w="110"/>
        <w:gridCol w:w="86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6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seize or detain drugs, refuse to permit the import or export of drugs or require us to initiate a product recall.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drugs. If regulatory sanctions are applied or if regulatory approval is withdrawn, the value of our company and our operating results will be adversely affected.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Advertising and promotion of any single-agent or combination therapy candidate that obtains approval in the United States will be heavily scrutinized by the FDA, the U.S. Federal Trade Commission, the Department of Justice, the U.S. Department of Health and Human Services Office of Inspector General, state attorneys general, members of the U.S. Congress and the public. Additionally, advertising and promotion of any single-agent or combination therapy candidate that obtains approval outside of the United States will be heavily scrutinized by comparable foreign entities and stakeholders. Violations, including actual or alleged promotion of our drugs for unapproved or off-label uses, are subject to enforcement letters, inquiries and investigations, and civil and criminal sanctions by the FDA or comparable foreign bodies. Any actual or alleged failure to comply with labeling and promotion requirements may result in fines, warning letters, mandates to corrective information to healthcare practitioners, injunctions or civil or criminal penalties.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FDA’s and other regulatory authorities’ policies may change and additional government regulations may be enacted that could prevent, limit or delay regulatory approval of our single-agent and combination therapy candidates. We cannot predict the likelihood, nature or extent of government regulation that may arise from future legislation or administrative action, either in the United States or abroad. For example, the results of the 2020 Presidential election may impact our business and industry. Namely, the Trump administration took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executive actions will be implemented or whether they will be rescinded or replaced under the Biden Administration. The policies and priorities of the new Administration are unknown and could materially impact the regulation of our products.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Separately, in response to the global COVID-19 pandemic, in March 2020, the FDA announced its intention to postpone most foreign inspections of manufacturing facilities and products through April 2020, and subsequently in March 2020, the FDA temporarily postponed routine surveillance inspections of domestic manufacturing facilities. Subsequently, in July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The FDA and other regulatory agencies actively enforce the laws and regulations prohibiting the promotion of off-label uses. If we are found or alleged to have improperly promoted off-label uses, we may become subject to significant liability.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and other regulatory agencies strictly regulate the promotional claims that may be made about prescription drugs, as our single-agent and combination therapy candidates would be, if approved. In particular, a drug may not be promoted for uses that are not approved by the FDA or such other regulatory agencies as reflected in the drug’s approved labeling. Physicians may nevertheless prescribe such drugs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single-agent and combination therapy candidates, if approved, we could become subject to significant liability, which would materially adversely affect our business and financial condition.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reliance on third parties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rely completely on third parties to manufacture our clinical drug supplies and we intend to rely on third parties to produce commercial supplies of any approved single-agent or combination therapy candidate, and our commercialization of any of our single-agent or combination therapy candidates could be stopped, delayed or made less profitable if those third parties fail to obtain approval of the FDA or comparable regulatory authorities, fail to provide us with sufficient quantities of drug product or fail to do so at acceptable quality levels or prices.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currently have nor do we plan to acquire the infrastructure or capability internally to manufacture our clinical drug supplies for use in the conduct of our clinical trials, and we lack the resources and the capability to manufacture any of our single-agent or combination therapy candidates on a clinical or commercial scale. The facilities used by our contract manufacturers to manufacture our single-agent and combination therapy candidates must be approved by the FDA pursuant to inspections that will be conducted after we submit our NDA to the FDA. We do not control the manufacturing process of, and are completely dependent on, our contract manufacturing partners for compliance with cGMPs for manufacture of both active drug substances and finished drug products.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single-agent and combination therapy candidates or if it withdraws any such approval in the future, we may need to find alternative manufacturing facilities, which would significantly impact our ability to develop, obtain regulatory approval for or market our single-agent and combination therapy candidates, if approved.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replacement of our manufacturers could require significant effort and expertise because there may be a limited number of qualified replacements. In some cases, the technology required to manufacture our single-agent and combination therapy candidates may be unique to the original manufacturer and we may have difficulty transferring such skills or technology to another third party. The process of changing manufacturers is extensive and time consuming and could cause delays or interruptions in our drug development. Further,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single-agent and combination therapy candidates in a timely manner or within budget.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rely on our manufacturers to purchase from third-party suppliers the materials necessary to produce our single-agent and combination therapy candidates for our clinical trials. There are a limited number of suppliers for raw materials that we use to manufacture our drugs and there may be a need to assess alternate suppliers to prevent a possible disruption of the manufacture of the materials necessary to produce our single-agent and combination therapy candidates for our clinical trials, and if approved, ultimately for commercial sale. We do not have any control over the process or timing of the acquisition of these raw materials by our manufacturers. Moreover, we currently do not have any agreements for the commercial production of these raw materials. Although we generally do not begin a clinical trial unless we believe we have a sufficient supply of a single-agent or combination therapy candidate to complete the clinical trial, any significant delay in the supply of a single-agent or combination therapy candidate, or the raw material components thereof, for an ongoing clinical trial due to the need to replace a third-party manufacturer could considerably delay completion of our clinical trials, product testing and potential regulatory approval of our single-agent and combination therapy candidates. If our manufacturers or we are unable to purchase these raw materials after regulatory approval has been obtained for our single-agent and combination therapy candidates, the commercial launch of our single-agent and combination therapy candidates would be delayed or there would be a shortage in supply, which would impair our ability to generate revenues from the sale of our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or our manufacturing partners, may be unable to successfully increase the manufacturing capacity for any of our single-agent or combination therapy candidates in a timely or cost-effective manner, or at all. In addition, quality issues may arise during scale-up activities. If we or our manufacturing partners are unable to successfully scale up the manufacture of our single-agent and combination therapy candidates in sufficient quality and quantity, the development, testing and clinical trials of that single-agent or combination therapy candidate may be delayed or become infeasible, and marketing approval or commercial launch of any resulting product may be delayed or not obtained, which could significantly harm our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to continue to depend on third-party contract manufacturers for the foreseeable future. We have not entered into long-term agreements with our current contract manufacturers or with any alternate fill/finish suppliers, and though we intend to do so prior to commercial launch in order to ensure that we maintain adequate supplies of finished drug product, we may be unable to enter into such an agreement or do so on commercially reasonable terms, which could have a material adverse impact upon our business. We currently obtain our supplies of finished drug product through individual purchase orders.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conduct, supervise and monitor our preclinical and clinical trials. If these third parties do not successfully carry out their contractual duties, meet rigorously enforced regulatory standards or meet expected deadlines, we may be unable to obtain regulatory approval for or commercialize any of our single-agent or combination therapy candidates on a timely basis or at all.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do not have the ability to independently conduct preclinical studies that comply with the regulatory requirements known as good laboratory practice, or GLP, requirements. The FDA and regulatory authorities in other jurisdictions require us to comply with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nonclinical studies and GCP-compliant clinical trials on our single-agent and combination therapy candidates properly and on time. While we will have agreements governing their activities, we control only certain aspects of their activities and have limited influence over their actual performance. The third parties with whom we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contract for execution of our GLP nonclinical studies and our GCP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GLP-compliant preclinical and nonclinical studies and GCP-compliant clinical trials, we remain responsible for ensuring that each of our GLP preclinical studies and clinical trials is conducted in accordance with its investigational plan and protocol and applicable laws and regulations, and our reliance on the CROs does not relieve us of our regulatory responsibilities.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or nonclinical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single-agent or combination therapy candidate, our financial results and the commercial prospects for our single-agent and combination therapy candidates would be harmed, our costs could increase and our ability to generate revenues could be delayed.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depend on collaborations with third parties for the development of certain of our drug candidates, and we may depend on additional collaborations in the future for the development and commercialization of these or other potential candidates. If our collaborations are not successful, our ability to develop and commercialize our single-agent and combination therapy candidates could be adversely affected.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currently collaborating with third parties to develop certain of our potential drug candidates. For example, we are collaborating with Hansoh (Shanghai) Healthtech Co., Ltd. and Jiangsu Hansoh Pharmaceutical Group Company Ltd. with respect to certain aspects of TRN-000632, our small-molecule allosteric inhibitor of the BCR-ABL fusion gene. In the future, we may seek collaboration arrangements for the commercialization, or potentially for the development, of certain of our other single-agent and combination therapy candidates depending on the merits of retaining commercialization rights for ourselves as compared to entering into collaboration arrangements. For example, certain of the disease areas that we believe our single-agent and combination therapy candidates address require large, costly and later-stage clinical trials, which a collaboration partner may be better positioned to finance and/or conduct. In addition, a component of our strategy is to maximize the commercial value of our current and future single-agent and combination therapy candidates, which may also strategically align with partnering commercial rights with partners that have large and established sales organizations. To the extent that we decide to enter into collaboration agreements, we may face significant competition for appropriate collaborators. Moreover, collaboration arrangements are complex and time-consuming to negotiate, document, implement and maintain and challenging to manage. We may not be successful in our efforts to enter into collaboration agreements. The terms of collaborations or other arrangements that we may establish may not be favorable to us.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success of our current and future collaboration arrangements will depend heavily on the efforts and activities of our collaborators. Collaborations are subject to numerous risks, which may include risks that: </w:t>
      </w:r>
    </w:p>
    <w:tbl>
      <w:tblPr>
        <w:tblW w:w="9865" w:type="dxa"/>
        <w:jc w:val="left"/>
        <w:tblInd w:w="0" w:type="dxa"/>
        <w:tblCellMar>
          <w:top w:w="0" w:type="dxa"/>
          <w:left w:w="0" w:type="dxa"/>
          <w:bottom w:w="0" w:type="dxa"/>
          <w:right w:w="0" w:type="dxa"/>
        </w:tblCellMar>
      </w:tblPr>
      <w:tblGrid>
        <w:gridCol w:w="60"/>
        <w:gridCol w:w="110"/>
        <w:gridCol w:w="96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6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collaborators have significant discretion in determining the efforts and resources that they will apply to collaborations;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collaborators may not pursue development and commercialization of our single-agent and combination therapy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collaborators may delay clinical trials, provide insufficient funding for a clinical trial program, stop a clinical trial, abandon a single-agent or combination therapy candidate, repeat or conduct new clinical trials or require a new formulation of a single-agent or combination therapy candidate for clinical testing;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collaborators could independently develop, or develop with third parties, drugs that compete directly or indirectly with our single-agent and combination therapy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collaborators with marketing, manufacturing and distribution rights to one or more drugs may not commit sufficient resources to or otherwise not perform satisfactorily in carrying out these activities; </w:t>
            </w:r>
          </w:p>
        </w:tc>
      </w:tr>
    </w:tbl>
    <w:tbl>
      <w:tblPr>
        <w:tblW w:w="8770" w:type="dxa"/>
        <w:jc w:val="left"/>
        <w:tblInd w:w="0" w:type="dxa"/>
        <w:tblCellMar>
          <w:top w:w="0" w:type="dxa"/>
          <w:left w:w="0" w:type="dxa"/>
          <w:bottom w:w="0" w:type="dxa"/>
          <w:right w:w="0" w:type="dxa"/>
        </w:tblCellMar>
      </w:tblPr>
      <w:tblGrid>
        <w:gridCol w:w="60"/>
        <w:gridCol w:w="110"/>
        <w:gridCol w:w="86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6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could grant exclusive rights to our collaborators that would prevent us from collaborating with others;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disputes may arise between us and collaborators that cause the delay or termination of the research, development or commercialization of our current or future single-agent and combination therapy candidates or that result in costly litigation or arbitration that diverts management attention and resources;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collaborations may be terminated, and, if terminated, this may result in a need for additional capital to pursue further development or commercialization of the applicable current or future single-agent and combination therapy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collaborators may own or co-own intellectual property covering drugs and other research that result from our collaborating with them, and in such cases, we would not have the exclusive right to develop or commercialize such intellectual property and may not be able to commercialize such intellectual property without their consent; </w:t>
            </w:r>
          </w:p>
        </w:tc>
      </w:tr>
    </w:tbl>
    <w:tbl>
      <w:tblPr>
        <w:tblW w:w="10195" w:type="dxa"/>
        <w:jc w:val="left"/>
        <w:tblInd w:w="0" w:type="dxa"/>
        <w:tblCellMar>
          <w:top w:w="0" w:type="dxa"/>
          <w:left w:w="0" w:type="dxa"/>
          <w:bottom w:w="0" w:type="dxa"/>
          <w:right w:w="0" w:type="dxa"/>
        </w:tblCellMar>
      </w:tblPr>
      <w:tblGrid>
        <w:gridCol w:w="60"/>
        <w:gridCol w:w="110"/>
        <w:gridCol w:w="1002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2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disputes may arise with respect to the ownership of any intellectual property developed pursuant to our collaborations;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collaborators’ sales and marketing activities or other operations may not be in compliance with applicable laws resulting in civil or criminal proceedings.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our collaborations on research and development candidates do not result in the successful development and commercialization of products or if one of our collaborators terminates its agreement with us, we may not receive any future milestone or royalty payments under the collaboration.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conflicts arise between us and our collaborators or strategic partners, these parties may act in a manner adverse to us and could limit our ability to implement our strategies.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single-agent and combination therapy candidates. Any of these developments could harm our product development efforts. </w:t>
      </w:r>
    </w:p>
    <w:p>
      <w:pPr>
        <w:pStyle w:val="TextBody"/>
        <w:spacing w:before="240" w:after="0"/>
        <w:jc w:val="center"/>
        <w:rPr>
          <w:rFonts w:ascii="Times New Roman" w:hAnsi="Times New Roman"/>
          <w:b w:val="false"/>
          <w:i w:val="false"/>
          <w:caps w:val="false"/>
          <w:smallCaps w:val="false"/>
          <w:sz w:val="20"/>
        </w:rPr>
      </w:pPr>
      <w:bookmarkStart w:id="19" w:name="_AEIOULastRenderedPageBreakAEIOU14"/>
      <w:bookmarkEnd w:id="19"/>
      <w:r>
        <w:rPr>
          <w:rFonts w:ascii="Times New Roman" w:hAnsi="Times New Roman"/>
          <w:b w:val="false"/>
          <w:i w:val="false"/>
          <w:caps w:val="false"/>
          <w:smallCaps w:val="false"/>
          <w:sz w:val="20"/>
        </w:rPr>
        <w:t>68</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commercialization of our single-agent and combination therapy candidates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The successful commercialization of our single-agent and combination therapy candidates will depend in part on the extent to which governmental authorities and health insurers establish adequate coverage, reimbursement levels and pricing policies. Failure to obtain or maintain coverage and adequate reimbursement for our single-agent and combination therapy candidates, if approved, could limit our ability to market those drugs and decrease our ability to generate revenue.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availability and adequacy of coverage and reimbursement by governmental healthcare programs such as Medicare and Medicaid, private health insurers and other third-party payors are essential for most patients to be able to afford prescription medications such as our single-agent and combination therapy candidates, assuming FDA approval. Our ability to achieve acceptable levels of coverage and reimbursement for products by governmental authorities, private health insurers and other organizations will have an effect on our ability to successfully commercialize our single-agent and combination therapy candidates. Assuming we obtain coverage for our single-agent and combination therapy candidates by a third-party payor, the resulting reimbursement payment rates may not be adequate or may require co-payments that patients find unacceptably high. We cannot be sure that coverage and reimbursement in the United States, the European Economic Area, or EEA, or elsewhere will be available for our single-agent and combination therapy candidates or any product that we may develop, and any reimbursement that may become available may be decreased or eliminated.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single-agent and combination therapy candidates as substitutable and only offer to reimburse patients for the less expensive drug. Even if we show improved efficacy or improved convenience of administration with our single-agent and combination therapy candidates, pricing of existing third-party therapeutics may limit the amount we will be able to charge for our single-agent and combination therapy candidates. These payors may deny or revoke the reimbursement status of a given product or establish prices for new or existing marketed products at levels that are too low to enable us to realize an appropriate return on our investment in our single-agent and combination therapy candidates.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If reimbursement is not available or is available only at limited levels, we may not be able to successfully commercialize our single-agent and combination therapy candidates, and may not be able to obtain a satisfactory financial return on our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single-agent and combination therapy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have and will continue to put pressure on the pricing and usage of our single-agent and combination therapy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single-agent and combination therapy candidates. Accordingly, in markets outside the United States, the reimbursement for our single-agent and combination therapy candidates may be reduced compared with the United States and may be insufficient to generate commercially-reasonable revenue and profits.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single-agent and combination therapy candidates. We expect to experience pricing pressures in connection with the sale of our single-agent and combination therapy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Even if our current or future single-agent and combination therapy candidates obtain regulatory approval, they may fail to achieve the broad degree of physician and patient adoption and use necessary for commercial success.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one or more of our single-agent or combination therapy candidates receive FDA or other regulatory approvals, the commercial success of any of our current or future single-agent and combination therapy candidates will depend significantly on the broad adoption and use of the resulting product by physicians and patients for approved indications. Given the number of drugs in development for the treatment of NASH, if we are unsuccessful in achieving a differentiated profile with our single-agent and combination therapy candidates based on efficacy, safety and tolerability, dosing and administration, market acceptance will be limited. Our single-agent and combination therapy candidates may not be commercially successful for a variety of reasons, including, among other things, competitive factors, pricing or physician preference, reimbursement by insurers, the degree and rate of physician and patient adoption of our current or future single-agent and combination therapy candidates. If approved, the commercial success of our single-agent and combination therapy candidates will depend on a number of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clinical indications for which the single-agent or combination therapy is approved and patient demand for approved drugs that treat those indications; </w:t>
            </w:r>
          </w:p>
        </w:tc>
      </w:tr>
    </w:tbl>
    <w:tbl>
      <w:tblPr>
        <w:tblW w:w="8935" w:type="dxa"/>
        <w:jc w:val="left"/>
        <w:tblInd w:w="0" w:type="dxa"/>
        <w:tblCellMar>
          <w:top w:w="0" w:type="dxa"/>
          <w:left w:w="0" w:type="dxa"/>
          <w:bottom w:w="0" w:type="dxa"/>
          <w:right w:w="0" w:type="dxa"/>
        </w:tblCellMar>
      </w:tblPr>
      <w:tblGrid>
        <w:gridCol w:w="60"/>
        <w:gridCol w:w="110"/>
        <w:gridCol w:w="87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7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safety and efficacy of our single-agent or combination therapy as compared to other available therapies;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availability of coverage and adequate reimbursement from managed care plans, insurers and other healthcare payors for any of our single-agent and combination therapy candidates that may be approved;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acceptance by physicians, operators of clinics and patients of the single-agent or combination therapy as a safe and effective treatment; </w:t>
            </w:r>
          </w:p>
        </w:tc>
      </w:tr>
    </w:tbl>
    <w:tbl>
      <w:tblPr>
        <w:tblW w:w="9745" w:type="dxa"/>
        <w:jc w:val="left"/>
        <w:tblInd w:w="0" w:type="dxa"/>
        <w:tblCellMar>
          <w:top w:w="0" w:type="dxa"/>
          <w:left w:w="0" w:type="dxa"/>
          <w:bottom w:w="0" w:type="dxa"/>
          <w:right w:w="0" w:type="dxa"/>
        </w:tblCellMar>
      </w:tblPr>
      <w:tblGrid>
        <w:gridCol w:w="60"/>
        <w:gridCol w:w="110"/>
        <w:gridCol w:w="95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5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physician and patient willingness to adopt a new therapy over other available therapies to treat approved indications;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overcoming any biases physicians or patients may have toward particular therapies for the treatment of approved indications;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proper training and administration of our single-agent and combination therapy candidates by physicians and medical staff; </w:t>
            </w:r>
          </w:p>
        </w:tc>
      </w:tr>
    </w:tbl>
    <w:tbl>
      <w:tblPr>
        <w:tblW w:w="7405" w:type="dxa"/>
        <w:jc w:val="left"/>
        <w:tblInd w:w="0" w:type="dxa"/>
        <w:tblCellMar>
          <w:top w:w="0" w:type="dxa"/>
          <w:left w:w="0" w:type="dxa"/>
          <w:bottom w:w="0" w:type="dxa"/>
          <w:right w:w="0" w:type="dxa"/>
        </w:tblCellMar>
      </w:tblPr>
      <w:tblGrid>
        <w:gridCol w:w="60"/>
        <w:gridCol w:w="110"/>
        <w:gridCol w:w="72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2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public misperception regarding the use of our therapies, if approved for commercial sale;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patient satisfaction with the results and administration of our single-agent and combination therapy candidates and overall treatment experience, including, for example, the convenience of any dosing regimen;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 of treatment with our single-agent and combination therapy candidates in relation to alternative treatments and reimbursement levels, if any, and willingness to pay for the drug, if approved, on the part of insurance companies and other third-party payors, physicians and patients;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revenue and profitability that our drugs and combination therapies may offer a physician as compared to alternative therapies; </w:t>
            </w:r>
          </w:p>
        </w:tc>
      </w:tr>
    </w:tbl>
    <w:tbl>
      <w:tblPr>
        <w:tblW w:w="3670" w:type="dxa"/>
        <w:jc w:val="left"/>
        <w:tblInd w:w="0" w:type="dxa"/>
        <w:tblCellMar>
          <w:top w:w="0" w:type="dxa"/>
          <w:left w:w="0" w:type="dxa"/>
          <w:bottom w:w="0" w:type="dxa"/>
          <w:right w:w="0" w:type="dxa"/>
        </w:tblCellMar>
      </w:tblPr>
      <w:tblGrid>
        <w:gridCol w:w="60"/>
        <w:gridCol w:w="110"/>
        <w:gridCol w:w="35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5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prevalence and severity of side effects; </w:t>
            </w:r>
          </w:p>
        </w:tc>
      </w:tr>
    </w:tbl>
    <w:tbl>
      <w:tblPr>
        <w:tblW w:w="6580" w:type="dxa"/>
        <w:jc w:val="left"/>
        <w:tblInd w:w="0" w:type="dxa"/>
        <w:tblCellMar>
          <w:top w:w="0" w:type="dxa"/>
          <w:left w:w="0" w:type="dxa"/>
          <w:bottom w:w="0" w:type="dxa"/>
          <w:right w:w="0" w:type="dxa"/>
        </w:tblCellMar>
      </w:tblPr>
      <w:tblGrid>
        <w:gridCol w:w="60"/>
        <w:gridCol w:w="110"/>
        <w:gridCol w:w="64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4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limitations or warnings contained in the FDA-approved labeling for our drugs;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willingness of physicians, operators of clinics and patients to utilize or adopt our drugs and combination therapies as a solution; </w:t>
            </w:r>
          </w:p>
        </w:tc>
      </w:tr>
    </w:tbl>
    <w:tbl>
      <w:tblPr>
        <w:tblW w:w="3820" w:type="dxa"/>
        <w:jc w:val="left"/>
        <w:tblInd w:w="0" w:type="dxa"/>
        <w:tblCellMar>
          <w:top w:w="0" w:type="dxa"/>
          <w:left w:w="0" w:type="dxa"/>
          <w:bottom w:w="0" w:type="dxa"/>
          <w:right w:w="0" w:type="dxa"/>
        </w:tblCellMar>
      </w:tblPr>
      <w:tblGrid>
        <w:gridCol w:w="60"/>
        <w:gridCol w:w="110"/>
        <w:gridCol w:w="36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6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any FDA requirement to undertake a REMS; </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2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effectiveness of our sales, marketing and distribution efforts; </w:t>
            </w:r>
          </w:p>
        </w:tc>
      </w:tr>
    </w:tbl>
    <w:tbl>
      <w:tblPr>
        <w:tblW w:w="9415" w:type="dxa"/>
        <w:jc w:val="left"/>
        <w:tblInd w:w="0" w:type="dxa"/>
        <w:tblCellMar>
          <w:top w:w="0" w:type="dxa"/>
          <w:left w:w="0" w:type="dxa"/>
          <w:bottom w:w="0" w:type="dxa"/>
          <w:right w:w="0" w:type="dxa"/>
        </w:tblCellMar>
      </w:tblPr>
      <w:tblGrid>
        <w:gridCol w:w="60"/>
        <w:gridCol w:w="110"/>
        <w:gridCol w:w="92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2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adverse publicity about our drugs and combination therapies or favorable publicity about competitive drugs; and </w:t>
            </w:r>
          </w:p>
        </w:tc>
      </w:tr>
    </w:tbl>
    <w:tbl>
      <w:tblPr>
        <w:tblW w:w="2965" w:type="dxa"/>
        <w:jc w:val="left"/>
        <w:tblInd w:w="0" w:type="dxa"/>
        <w:tblCellMar>
          <w:top w:w="0" w:type="dxa"/>
          <w:left w:w="0" w:type="dxa"/>
          <w:bottom w:w="0" w:type="dxa"/>
          <w:right w:w="0" w:type="dxa"/>
        </w:tblCellMar>
      </w:tblPr>
      <w:tblGrid>
        <w:gridCol w:w="60"/>
        <w:gridCol w:w="110"/>
        <w:gridCol w:w="27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7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potential product liability claims.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assure you that our current or future single-agent and combination therapy candidates, if approved, will achieve broad market acceptance among physicians and patients. Any failure by our single-agent and combination therapy candidates that obtain regulatory approval to achieve market acceptance or commercial success would adversely affect our results of operations.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currently have no sales organization. If we are unable to establish sales capabilities on our own or through third parties, we may not be able to market and sell our single-agent and combination therapy candidates, if approved, effectively in the United States and foreign jurisdictions or generate drug revenue.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do not have a marketing or sales organization. In order to commercialize our single-agent and combination therapy candidates in the United States and foreign jurisdictions, we must build our marketing, sales, distribution, managerial and other non-technical capabilities or make arrangements with third parties to perform these services, and we may not be successful in doing so. If any of our single-agent or combination therapy candidates receive regulatory approval, we expect to establish a sales organization with technical expertise and supporting distribution capabilities to commercialize each such single-agent or combination therapy candidate, which will be expensive and time consuming. We have no prior experience in the marketing, sale and distribution of pharmaceutical, biopharmaceutical and biotechnology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single-agent and combination therapy candidates. If we are not successful in commercializing our single-agent and combination therapy candidates or any future single-agent and combination therapy candidates, either on our own or through arrangements with one or more third parties, we may not be able to generate any future drug revenue and we would incur significant additional losses.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exposed to the risk of fraud or other misconduct by our employees, principal investigators, CROs,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regulations. If any such actions are instituted against us those actions could have a significant impact on our business, including the imposition of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the curtailment or restructuring of our operations.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business operations and future relationships with investigators, healthcare professionals, consultants, third-party payors, patient organizations and customers will be subject to applicable healthcare regulatory laws, which could expose us to penalties.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operations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will conduct our operations, including how we research, market, sell and distribute our single-agent and combination therapy candidates, if approved. Such laws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U.S. federal Physician Payments Sunshine Act,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Beginning in 2022, such obligations will include payments and other transfers of value provided in the previous year to certain other healthcare professionals, including physician assistants, nurse practitioners, clinical nurse specialists, certified nurse anesthetists, anesthesiology assistants and certified nurse midwives;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analogous U.S. state laws and regulations, including: state anti-kickback and false claims laws, which may apply to our future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similar healthcare laws and regulations in the EEA and other jurisdictions, including reporting requirements detailing interactions with and payments to healthcare providers.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Enacted and future healthcare legislation may increase the difficulty and cost for us to obtain marketing approval of and commercialize our single-agent and combination therapy candidates and may affect the prices we may set.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the EEA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 increase in the statutory minimum rebates a manufacturer must pay under the Medicaid Drug Rebate Program to 23.1% and 13.0% of the average manufacturer price for branded and generic drugs, respectively;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 new methodology by which rebates owed by manufacturers under the Medicaid Drug Rebate Program are calculated for drugs that are inhaled, infused, instilled, implanted or injected;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extension of a manufacturer’s Medicaid rebate liability to covered drugs dispensed to individuals who are enrolled in Medicaid managed care organizations;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its enactment, there have been judicial and Congressional challenges to certain aspects of the ACA, and we expect there will be additional challenges and amendments to the ACA in the future. The U.S. Supreme Court is currently reviewing the case, although it is unclear when the Supreme Court will make a decision. It is also unclear how other efforts to challenge, repeal or replace the ACA will affect the law or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73</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other legislative changes have been proposed and adopted in the United States since the ACA was enacted. For example, the Budget Control Act of 2011 resulted in aggregate reductions of Medicare payments to providers of 2% per fiscal year, which went into effect in April 2013 and, due to subsequent legislative amendments to the statute, will remain in effect through 2030, with the exception of a temporary suspension from May 2020 through March 2021,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future customers and accordingly, our financial operations.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payment methodologies may be subject to changes in healthcare legislation and regulatory initiatives. For example, the Centers for Medicare and Medicaid Services, or CMS, may develop new payment and delivery models, such as bundled payment models.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 healthcare products and services, which could result in reduced demand for our single-agent and combination therapy candidates or additional pricing pressures.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single-agent and combination therapy candidates or put pressure on our product pricing.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single-agent and combination therapy candidates may lose any regulatory approval that may have been obtained and we may not achieve or sustain profitability.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the market opportunities for any single-agent or combination therapy that we or our strategic collaborators develop are smaller than we believe they are, our revenue may be adversely affected and our business may suffer.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intend to initially focus our single-agent and combination therapy candidate development on therapies for the treatment of NASH and other liver and other chronic liver diseases. Our projections of addressable patient populations that have the potential to benefit from treatment with our single-agent and combination therapy candidates are based on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our single-agent and combination therapy candidates may not ultimately be amenable to treatment with our single-agent and combination therapy candidates. Our market opportunity may also be limited by future competitor treatments that enter the market. If any of our estimates are inaccurate, the market opportunities for any of our single-agent and combination therapy candidates could be significantly diminished and have an adverse material impact on our business. </w:t>
      </w:r>
    </w:p>
    <w:p>
      <w:pPr>
        <w:pStyle w:val="TextBody"/>
        <w:spacing w:before="240" w:after="0"/>
        <w:jc w:val="center"/>
        <w:rPr>
          <w:rFonts w:ascii="Times New Roman" w:hAnsi="Times New Roman"/>
          <w:b w:val="false"/>
          <w:i w:val="false"/>
          <w:caps w:val="false"/>
          <w:smallCaps w:val="false"/>
          <w:sz w:val="20"/>
        </w:rPr>
      </w:pPr>
      <w:bookmarkStart w:id="20" w:name="_AEIOULastRenderedPageBreakAEIOU15"/>
      <w:bookmarkEnd w:id="20"/>
      <w:r>
        <w:rPr>
          <w:rFonts w:ascii="Times New Roman" w:hAnsi="Times New Roman"/>
          <w:b w:val="false"/>
          <w:i w:val="false"/>
          <w:caps w:val="false"/>
          <w:smallCaps w:val="false"/>
          <w:sz w:val="20"/>
        </w:rPr>
        <w:t>74</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Intellectual Property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current and any future single-agent and combination therapy candidates could be alleged to infringe patent rights and other intellectual property rights of third parties, which may require costly litigation and, if we are not successful, could cause us to pay substantial damages and/or limit our ability to commercialize our drugs and combination therapy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commercial success depends on our ability to develop, manufacture and market our current and any future single-agent and combination therapy candidates that may be approved for sale, and to use our proprietary technology without infringing the patents and other intellectual property rights of third parties. If any third-party patents, or other intellectual property rights are found to cover our single-agent and combination therapy candidates or their compositions, methods of use or manufacturing, we may be required to pay damages, which could be substantial, and we would not be free to manufacture or market our single-agent and combination therapy candidates or to do so without obtaining a license, which may not be available on commercially reasonable terms, or at all. Regardless of merits, intellectual property disputes can be costly to defend, time-consuming and may cause our business, operating results and financial condition to suffer.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operate in an industry with extensive intellectual property litigation. As the pharmaceutical, biopharmaceutical and biotechnology industries expand and more patents are issued, the risk increases that there may be patents issued to third parties that relate to our products and technology of which we are not aware or that we may need to challenge to continue our operations as currently contemplated.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be subject to legal proceedings and claims with respect to intellectual property with respect to our single-agent and combination therapy candidates and technologies we use in our business. We may face allegations that we have infringed the trademarks, copyrights, patents and other intellectual property rights of third parties, including patents held by our competitors or by non-practicing entities. Litigation may make it necessary to defend ourselves by determining the scope, enforceability and validity of third-party proprietary rights, or to establish our proprietary rights. Interference or derivation proceedings provoked by third parties or brought by us or declared by the United States Patent and Trademark Office, or USPTO, may be necessary to determine the priority of inventions with respect to our patents or patent applications or those of our licensors. Regardless of whether claims that we are infringing patents or other intellectual property rights have merit, the claims can be time consuming, divert management attention and financial resources and are costly to evaluate and defend. Results of any such litigation are difficult to predict and may require us to cease developing, manufacturing, or commercializing the infringing single-agent and combination therapy candidate, stop treating certain conditions, obtain licenses or modify our drugs or combination therapies and features while we develop non-infringing substitutes, or may result in significant settlement costs. For example, litigation can involve substantial damages for infringement, and if the court finds that the infringement was willful, we could be ordered to pay treble damages and the patent owner’s attorneys’ fees. We may also be prohibited from selling or licensing our single-agent and combination therapy candidates unless the third party licenses rights to us, which it is not required to do at a commercially reasonable price or at all. If a license is available from a third party, we may have to pay substantial royalties or upfront fees or grant cross-licenses to intellectual property rights for our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we have reviewed certain third-party patent filings that we believe may be relevant to certain of our single-agent and combination therapy candidates, we have not conducted a freedom-to-operate search or analysis for all of our single-agent and combination therapy candidates. As such, we may not be aware of patents or pending or future patent applications that, if issued, would block us from commercializing our single-agent and combination therapy candidates. Thus, we cannot guarantee that our single-agent and combination therapy candidates, or our commercialization thereof, do not and will not infringe any third party’s intellectual property.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Claims in patent applications can also be revised before issuance. Therefore, we cannot be certain that others have not filed patent applications or made public disclosures relating to our technology or our contemplated technology. A third party may have filed, and may in the future file, patent applications covering our single-agent and combination therapy candidates or technology similar to ours. Any such patent application may have priority over our patent applications or patents, which could further require us to obtain rights to issued patents covering such technologies. If another party has filed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75</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U.S. patent application on inventions similar to ours, depending on whether the timing of the filing date falls under certain patent laws, we may have to participate in a priority contest (such as an interference proceeding) declared by the USPTO to determine priority of invention in the United States. The costs of patent litigation and other proceedings could be substantial, and it is possible that such efforts would be unsuccessful if it is determined that the other party had independently arrived at the same or similar invention prior to our own invention, resulting in a loss of our U.S. patent position with respect to such invention.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coverage of patents is subject to interpretation by the courts, and the interpretation is not always uniform. If we were sued for patent infringement, we would need to demonstrate that our single-agent and combination therapy candidates either do not infringe the patent claims of the relevant patent or that the patent claims are invalid or unenforceable, and we may not be successful in doing so.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Some of our competitors may be able to sustain the costs of complex patent litigation more effectively than we can.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Any uncertainties resulting from the initiation and continuation of any litigation could have a material adverse effect on our ability to raise the funds necessary to continue our operations.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can be no assurance with respect to the outcome of any future litigation brought by or against us, and the outcome of any such litigation could have a material adverse impact on our business, operating results and financial condition. Litigation is inherently unpredictable, and outcomes are uncertain. Further, as the costs and outcome of these types of claims and proceedings can vary significantly, it is difficult to estimate potential losses that may occur. Such claims and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Accordingly, we are unable at this time to estimate the effects of these potential future lawsuits on our financial condition, operations or cash flows.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claims by employees, consultants and contractors claiming ownership of what we regard as our own intellectual property.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76</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obtain, maintain and enforce intellectual property protection directed to our current and any future technologies that we develop, others may be able to make, use or sell drugs or combination therapies substantially the same as ours, which could adversely affect our ability to compete in the market.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market for pharmaceuticals and biopharmaceuticals is highly competitive and subject to rapid technological change. Our success depends, in part, upon our ability to maintain a competitive position in the development and protection of technologies and any future single agent or combination therapy candidates for use in these fields and upon our ability to obtain, maintain and enforce our intellectual property rights. We seek to obtain and maintain patents and other intellectual property rights to restrict the ability of others to market products that misappropriate our technology and/or infringe our intellectual property to unfairly and illegally compete with any of our single-agent or combination therapy candidates. If we are unable to protect our intellectual property and proprietary rights, our competitive position and our business could be harmed, as third parties may be able to make, use or sell products that are substantially the same as any single agent or combination therapy candidates we may sell without incurring the sizeable development and licensing costs that we have incurred, which would adversely affect our ability to compete in the market. We use a combination of patents, trademarks, know-how, confidentiality procedures and contractual provisions to protect our proprietary technology and that of our licensors. However, these protections may not be adequate and may not provide us with any competitive advantage. For example, patents may not issue from any of our or our licensors’ currently pending or any future patent applications, and our or our licensors’ issued patents and any future patents that may issue may not survive legal challenges to their scope, validity or enforceability or provide significant protection for us.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protect our proprietary position, we file patent applications in the United States and abroad related to our single-agent and combination therapy candidates that we consider important to our business. The patent application and approval process is expensive, time-consuming and complex. We may not be able to file, prosecute and maintain all necessary or desirable patent applications at a reasonable cost or in a timely manner or in all jurisdictions. It is also possible that we will fail to identify patentable aspects of our research and development output before it is too late to obtain patent protection. Moreover, depending on the terms of any future license or collaboration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USPTO, international patent offices or judicial bodies may deny or significantly narrow claims made under our patent applications, and our issued patents may be successfully challenged, may be designed around or may otherwise be of insufficient scope to provide us with protection for our drugs or combination therapies. Further, the USPTO, international trademark offices or judicial bodies may deny our trademark applications and, even if published or registered, these trademarks may not effectively protect our brand and goodwill. Like patents, trademarks also may be successfully opposed or challenged.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be certain that the steps we have taken will prevent unauthorized use or unauthorized reverse engineering of our technology. Moreover, third parties may independently develop technologies that are competitive with ours and such competitive technologies may or may not infringe our intellectual property. The enforcement of our intellectual property rights also depends on the success of any legal actions we may take against these infringers in the respective country or forum, but these actions may not be successful. As with all granted intellectual property, such intellectual property may be challenged, invalidated or circumvented, may not provide protection and/or may not prove to be enforceable in actions against specific alleged infringers.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our patents are determined by a court to be valid and enforceable, they may not be interpreted sufficiently broadly to prevent others from marketing products similar to ours or designing around our patents. For example, third parties may be able to make products that are similar to ours but that are not covered by the claims of our patents. Third parties may assert that we or our licensors were not the first to make the inventions covered by our issued patents or pending patent applications. The claims of our or our licensors’ issued patents or patent applications when issued may not cover our single-agent or combination therapy candidates or any future drugs or combination therapies that we develop. We may not have freedom to commercialize unimpeded by the patent rights of others. Third parties may have patents that dominate, block or are otherwise relevant to our technology. There may be prior public disclosures or other art that could be deemed to invalidate one or more of our patent claims. Further, we may not develop additional proprietary technologies in the future, and, if we do, they may not be patentable.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be able to correctly estimate or control our future operating expenses in relation to obtaining intellectual property, enforcing intellectual property and/or defending intellectual property, which could affect operating expenses. Our operating expenses may fluctuate significantly in the future as a result of a variety of factors, including the costs of preparing, filing, prosecuting, defending and enforcing patent and trademark claims and other intellectual property-related costs, including adverse proceedings and litigation costs.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involved in lawsuits to protect or enforce our patents or the patents of our licensors, which could be expensive, time consuming, and unsuccessful. Further, our issued patents could be found invalid or unenforceable if challenged in court.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Competitors may infringe our intellectual property rights or those of our licensors. To prevent infringement or unauthorized use, we may be required to file infringement claims, which can be expensive and time-consuming. In addition, in a patent infringement proceeding, a court may decide that one or more patent of ours or any of our current licensors or future licensors is not valid or is unenforceable, in whole or in part, or may refuse to stop the other party from using the technology at issue on the grounds that our or our licensors’ patents do not cover the technology in question. An adverse result in any litigation or defense proceedings could put one or more of our or our licensors’ patents at risk of being invalidated or interpreted narrowly, which may curtail or preclude our ability to exclude third parties from making and selling similar or competitive products, and could put our or our licensors’ patent applications at risk of not issuing. If we or any of our potential future collaborators were to initiate legal proceedings against a third party to enforce a patent directed at our products, the defendant could counterclaim that our or our licensors’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also include an allegation that someone connected with prosecution of the patent withheld relevant information from the USPTO or made a misleading statement during prosecution. Third parties may also raise similar validity claims before the USPTO in post-grant proceedings such as </w:t>
      </w:r>
      <w:r>
        <w:rPr>
          <w:rFonts w:ascii="Times New Roman" w:hAnsi="Times New Roman"/>
          <w:b w:val="false"/>
          <w:i/>
          <w:caps w:val="false"/>
          <w:smallCaps w:val="false"/>
          <w:sz w:val="20"/>
        </w:rPr>
        <w:t>ex parte</w:t>
      </w:r>
      <w:r>
        <w:rPr>
          <w:rFonts w:ascii="Times New Roman" w:hAnsi="Times New Roman"/>
          <w:b w:val="false"/>
          <w:i w:val="false"/>
          <w:caps w:val="false"/>
          <w:smallCaps w:val="false"/>
          <w:sz w:val="20"/>
        </w:rPr>
        <w:t xml:space="preserve"> reexaminations, inter partes review or post-grant review, or oppositions or similar proceedings outside the United States, in parallel with litigation or even outside the context of litigation.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 defendant were to prevail on a legal assertion of invalidity or unenforceability of our or our licensors’ patents covering one of our single-agent or combination therapy candidates, we could lose a part, and perhaps all, of the patent protection covering such candidate. Competing products may also be sold in other countries in which our patent coverage might not exist or be as strong. If we lose a foreign patent lawsuit, alleging our infringement of a competitor’s patents, we could be prevented from marketing our products in one or more foreign countries. Any of these occurrences could adversely affect our competitive business position, business prospects and financial condition.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outcome following legal assertions of invalidity and unenforceability is unpredictable, and prior art could render our patents or those of our licensors invalid. Similar mechanisms for challenging the validity and enforceability of a patent exist in ex-U.S. patent offices and may result in the revocation, cancellation, or amendment of any ex-U.S. patents we hold in the future. For the patents and patent applications that we may license in the future, we may have limited or no right to participate in the defense of any licensed patents against challenge by a third party. If a defendant were to prevail on a legal assertion of invalidity and/or unenforceability, we would lose at least part, and perhaps all, of the patent protection on such single-agent or combination therapy candidate. Such a loss of patent protection would have a material adverse impact on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78</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be able to prevent, alone or with our potential licensors, misappropriation of our intellectual property rights, particularly in countries where the laws may not protect those rights as fully as in the United States.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defense of litigation or interference proceedings may fail and, even if successful, may result in substantial costs and distract our management and other employees.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products to market.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license or otherwise have access to patent rights from third-party owners. Such licenses or other arrangements may be subject to early termination if we fail to comply with our obligations in our agreements with third parties, which could result in the loss of rights or technology that are material to our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party to licenses and other agreements that give us rights to third-party intellectual property that are necessary or useful for our business, and we may enter into additional licenses or other agreements in the future. For example, we are party to license agreements with Eli Lilly and Company with respect to TERN-101 and TERN-201 and an assignment agreement with Vintagence Biotechnology Ltd. with respect to our THR-β program. Under these agreements, we are obligated to pay the counterparties fees, which may include annual license fees, milestone payments, royalties, a percentage of revenues associated with the applicable technology and a percentage of sublicensing revenue. In addition, under certain of such agreements, we are required to diligently pursue the development of products using the applicable technology. If we fail to comply with these obligations and fail to cure our breach within a specified period of time, the counterparty may have the right to terminate the applicable agreement, in which event we could lose valuable rights and technology that are material to our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rely on third parties from whom we license proprietary technology to file and prosecute patent applications and maintain patents and otherwise protect the intellectual property we license from them. We may have limited control over these activities or any other intellectual property that may be related to our in-licensed intellectual property. For example, we cannot be certain that such activities by these licensors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may be licensed to us. It is possible that the licensors’ infringement proceeding or defense activities may be less vigorous than if we conduct them ourselves.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intellectual property agreements with third parties may be subject to disagreements over contract interpretation, which could narrow the scope of our rights to the relevant intellectual property or technology or increase our financial or other obligations to our licensors.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any of which could have a material adverse effect on our business, financial condition, results of operations and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jointly own certain patent rights with third parties. Our ability to out-license these patent rights, or to prevent the third party from out-licensing these patent rights, may be limited in certain countries.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jointly own patents and patent applications with third parties in the future. Unless we enter into an agreement with the joint owner, we will be subject to certain default rules pertaining to joint ownership. Certain countries require the consent of all joint owners to license jointly owned patents, and if we are unable to obtain such consent from the joint owner, we may not be able to license our rights under these patents and patent applications. In certain other countries, including the United States, the joint owner could license its rights under these patents and patent applications to another party without our consent and without any duty of accounting to us.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in the future be dependent on intellectual property licensed or sublicensed to us from, or for which development was funded or otherwise assisted by, government agencies, such as the National Institutes of Health, for development of our technology and single-agent and combination therapy candidates. Failure to meet our own obligations to our licensors or upstream licensors, including such government agencies, may result in the loss of our rights to such intellectual property, which could harm our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future, government agencies may provide funding, facilities, personnel or other assistance in connection with the development of the intellectual property rights owned by or licensed to us. Such government agencies may retain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claims challenging the inventorship or ownership of our patents and other intellectual property.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single-agent and combination therapy candidates or as a result of questions regarding co-ownership of potential joint inventions. For example, we may have inventorship disputes arise from conflicting obligations of consultants or others who are involved in developing our single-agent and combination therapy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or our licensors may in the future rely on third-party consultants or collaborators or on funds from third parties, such as the U.S. government, such that we or our licensors are not the sole and exclusive owners of the patents we in-licensed. If other third 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claims that we have wrongfully hired an employee from a competitor or that we or our employees have wrongfully used or disclosed alleged confidential information or trade secrets of their former employers.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is common in the pharmaceutical and biotechnology industries, in addition to our employees, we engage the services of consultants to assist us in the development of our single-agent and combination therapy candidates. Many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80</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of these consultants, and many of our employees, were previously employed at, or may have previously provided or may be currently providing consulting services to, universities or other pharmaceutical or biotechnology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which could adversely affect our business. Such intellectual property could be awarded to a third party, and we could be required to obtain a license from such third party to commercialize our technology or drugs and combination therapies. Even if we are successful in defending against these claims, litigation could result in substantial costs and be a distraction to our management team. Any of the foregoing would have a material adverse effect on our business, financial condition, results of operations and prospects.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protect our intellectual property rights throughout the world.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a number of international patents and patent applications, and expect to continue to pursue patent protection in many of the significant markets in which we intend to do business. However, filing, prosecuting and defending patents on single-agent and combination therapy candidates in all countries throughout the world would be prohibitively expensive, and the laws of some foreign countries do not protect intellectual property rights to the same extent as federal and state laws in the United States. The requirements for patentability may differ in certain countries, particularly in developing countries. In addition, any future intellectual property license agreements may not always include worldwide rights. Consequently, we have not pursued or maintained, and may not pursue or maintain in the future, patent protection for our single-agent and combination therapy candidates in every country or territory in which we may sell our drugs and combination therapies and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and where our ability to enforce our patents to stop infringing activities may be inadequate. These products may compete with any current or future single-agent or combination therapy candidates we may sell, and our patents or other intellectual property rights may not be effective or sufficient to prevent them from competing.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and biopharmaceuticals, which could make it difficult for us to stop the infringement of our patents or marketing of competing products in violation of our proprietary rights generally.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favor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not identify relevant third-party patents or may incorrectly interpret the relevance, scope or expiration of a third-party patent, which might adversely affect our ability to develop and market our single-agent and combination therapies.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single-agent and combination therapy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single-agent and combination therapy candidates. We may incorrectly determine that our single-agent and combination therapy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single-agent and combination therapy candidates. Our failure to identify and correctly interpret relevant patents may negatively impact our ability to develop and market our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single-agent and combination therapy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single-agent and combination therapy candidates. As a result, the issuance, scope, validity, enforceability and commercial value of our patent rights are highly uncertain. Furthermore, for U.S. applications in which all claims are entitled to a priority date before March 2013, an interference proceeding can be provoked by a third party or instituted by the USPTO to determine who was the first to invent any of the subject matter covered by the patent claims of our applications. For U.S. applications containing a claim not entitled to priority before March 2013, there is a greater level of uncertainty in the patent law in view of the passage of the Leahy-Smith America Invents Act, or the AIA, which brought into effect significant changes to the U.S. patent laws, including new procedures for challenging pending patent applications and issued patents.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Patent terms may be inadequate to establish our competitive position on our single-agent and combination therapy candidates for an adequate amount of time.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Patents have a limited lifespan. In the United States, if all maintenance fees are timely paid, the natural expiration of a patent is generally 20 years from its earliest U.S. non-provisional filing date. Patent terms may be shortened or lengthened by, for example, terminal disclaimers, patent term adjustments, supplemental protection certificates and patent term extensions, but the life of a patent, and the protection it affords, is limited. Non-payment or delay in payment of patent fees, maintenance fees or annuities, delay in patent filings or delay in extension filings (including any patent term extension or adjustment filings), whether intentional or unintentional, may result in the loss of patent rights important to our business. Even if patents covering our single-agent and combination therapy candidates are obtained, once the patent life has expired for a single-agent or combination therapy candidate, we may be open to competition from competitive medications, including generic versions. Given the amount of time required for the development, testing and regulatory review of new single-agent and combination therapy candidates, patents directed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towards such single-agent and combination therapy candidates might expire before or shortly after such single-agent and combination therapy candidates are commercialized. As a result, our owned and licensed patent portfolio may not provide us with sufficient rights to exclude others from commercializing single-agent and combination therapy candidates similar or identical to ours for a meaningful amount of time, or at all.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Depending upon the timing, duration and conditions of any FDA marketing approval of our single-agent and combination therapy candidates, one or more of our owned or licensed U.S. patents may be eligible for limited patent term extension under the Drug Price Competition and Patent Term Restoration Act of 1984, or Hatch-Waxman Act, and similar legislation in the EU and certain other jurisdictions. The Hatch-Waxman Act permits, in certain cases,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the amount of available extension to any extension-eligible patent which claims a product, a method of using a product or a method of manufacturing a product, depends on a variety of factors, including the date on which the patent issues and certain dates related to the regulatory review period. If we are unable to obtain patent term extension or the term of any such extension is less than we request, the period during which we can enforce our patent rights for the applicable single-agent or combination therapy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there are detailed rules and requirements regarding the patents that may be submitted to the FDA for listing in the Orange Book. We may be unable to obtain patents covering our single-agent and combination therapy candidates that contain one or more claims that satisfy the requirements for listing in the Orange Book. Even if we submit a patent for listing in the Orange Book, the FDA may decline to list the patent, or a manufacturer of generic drugs may challenge the listing. If one of our single-agent or combination therapy candidates is approved and a patent covering that single-agent or combination therapy candidate is not listed in the Orange Book, a manufacturer of generic drugs would not have to provide advance notice to us of any abbreviated new drug application filed with the FDA to obtain permission to sell a generic version of such single-agent or combination therapy candidate. Any of the foregoing could harm our competitive position, business, financial condition, results of operations and prospects.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Changes in patent law in the U.S. or in other countries could diminish the value of patents in general, thereby impairing our ability to protect our single-agent and combination therapy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Our patent rights may be affected by developments or uncertainty in U.S. or ex-U.S. patent statutes, patent case laws in USPTO rules and regulations or in the rules and regulations of ex-U.S. patent offices. There are a number of recent changes to the U.S. patent laws that may have a significant impact on our ability to protect our technology and enforce our intellectual property rights. For example, in September 2011, the AIA, was signed into law. The AIA includes a number of significant changes to U.S. patent law. These include provisions that affect the way patent applications will be prosecuted and may also affect patent litigation. In particular, under the AIA,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 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Congress may pass patent reform legislation that is unfavorable to us.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We cannot predict future changes in the interpretation of patent laws or changes to patent laws that might be enacted into law by U.S. and international legislative bodies. Those changes may materially affect the patents and patent applications of our licensors, our existing or future patents and patent applications and our ability to obtain additional patents in the future.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Intellectual property rights do not necessarily address all potential threats to our competitive advantage.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others may be able to make product candidates that are similar to ours but that are not covered by the claims of the patents that we own or have exclusively licensed;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or our licensors or future collaborators might not have been the first to make the inventions covered by the issued patents or pending patent applications that we own or have exclusively licensed;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or our licensors or future collaborators might not have been the first to file patent applications covering certain of our inventions;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others may independently develop similar or alternative technologies or duplicate any of our technologies without infringing our intellectual property rights; </w:t>
            </w:r>
          </w:p>
        </w:tc>
      </w:tr>
    </w:tbl>
    <w:tbl>
      <w:tblPr>
        <w:tblW w:w="8290" w:type="dxa"/>
        <w:jc w:val="left"/>
        <w:tblInd w:w="0" w:type="dxa"/>
        <w:tblCellMar>
          <w:top w:w="0" w:type="dxa"/>
          <w:left w:w="0" w:type="dxa"/>
          <w:bottom w:w="0" w:type="dxa"/>
          <w:right w:w="0" w:type="dxa"/>
        </w:tblCellMar>
      </w:tblPr>
      <w:tblGrid>
        <w:gridCol w:w="60"/>
        <w:gridCol w:w="110"/>
        <w:gridCol w:w="81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1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it is possible that our owned or licensed pending patent applications will not lead to issued patents;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issued patents that we own or have exclusively licensed may be held invalid or unenforceable, as a result of legal challenges by our competitors;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84</w:t>
      </w:r>
    </w:p>
    <w:p>
      <w:pPr>
        <w:pStyle w:val="HorizontalLine"/>
        <w:rPr/>
      </w:pPr>
      <w:r>
        <w:rPr/>
      </w:r>
    </w:p>
    <w:p>
      <w:pPr>
        <w:pStyle w:val="TextBody"/>
        <w:spacing w:before="0" w:after="0"/>
        <w:rPr/>
      </w:pPr>
      <w:r>
        <w:rPr/>
        <w:t> </w:t>
      </w:r>
    </w:p>
    <w:tbl>
      <w:tblPr>
        <w:tblW w:w="6415" w:type="dxa"/>
        <w:jc w:val="left"/>
        <w:tblInd w:w="0" w:type="dxa"/>
        <w:tblCellMar>
          <w:top w:w="0" w:type="dxa"/>
          <w:left w:w="0" w:type="dxa"/>
          <w:bottom w:w="0" w:type="dxa"/>
          <w:right w:w="0" w:type="dxa"/>
        </w:tblCellMar>
      </w:tblPr>
      <w:tblGrid>
        <w:gridCol w:w="60"/>
        <w:gridCol w:w="110"/>
        <w:gridCol w:w="62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24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000000"/>
                <w:sz w:val="20"/>
              </w:rPr>
              <w:t>we may not develop additional proprietary technologies that are patentable;</w:t>
            </w:r>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cannot predict the scope of protection of any patent issuing based on our owned or licensed patent applications, including whether the patent applications that we own or in-license will result in issued patents with claims that cover our single-agent and combination therapy candidates or uses thereof in the United States or in other foreign countries;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claims of any patent issuing based on our owned or licensed patent applications may not provide protection against competitors or any competitive advantages, or may be challenged by third parties; </w:t>
            </w:r>
          </w:p>
        </w:tc>
      </w:tr>
    </w:tbl>
    <w:tbl>
      <w:tblPr>
        <w:tblW w:w="8680" w:type="dxa"/>
        <w:jc w:val="left"/>
        <w:tblInd w:w="0" w:type="dxa"/>
        <w:tblCellMar>
          <w:top w:w="0" w:type="dxa"/>
          <w:left w:w="0" w:type="dxa"/>
          <w:bottom w:w="0" w:type="dxa"/>
          <w:right w:w="0" w:type="dxa"/>
        </w:tblCellMar>
      </w:tblPr>
      <w:tblGrid>
        <w:gridCol w:w="60"/>
        <w:gridCol w:w="110"/>
        <w:gridCol w:w="85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5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if enforced, a court may not hold that our owned or licensed patents are valid, enforceable and infringed;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need to initiate litigation or administrative proceedings to enforce and/or defend our patent rights which will be costly whether we win or lose; </w:t>
            </w:r>
          </w:p>
        </w:tc>
      </w:tr>
    </w:tbl>
    <w:tbl>
      <w:tblPr>
        <w:tblW w:w="6625" w:type="dxa"/>
        <w:jc w:val="left"/>
        <w:tblInd w:w="0" w:type="dxa"/>
        <w:tblCellMar>
          <w:top w:w="0" w:type="dxa"/>
          <w:left w:w="0" w:type="dxa"/>
          <w:bottom w:w="0" w:type="dxa"/>
          <w:right w:w="0" w:type="dxa"/>
        </w:tblCellMar>
      </w:tblPr>
      <w:tblGrid>
        <w:gridCol w:w="60"/>
        <w:gridCol w:w="110"/>
        <w:gridCol w:w="64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4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be required to coordinate with licensors on enforcement of our patents;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choose not to file a patent application in order to maintain certain trade secrets or know-how, and a third party may subsequently file a patent application and secure an issued patent covering such intellectual property; </w:t>
            </w:r>
          </w:p>
        </w:tc>
      </w:tr>
    </w:tbl>
    <w:tbl>
      <w:tblPr>
        <w:tblW w:w="6865" w:type="dxa"/>
        <w:jc w:val="left"/>
        <w:tblInd w:w="0" w:type="dxa"/>
        <w:tblCellMar>
          <w:top w:w="0" w:type="dxa"/>
          <w:left w:w="0" w:type="dxa"/>
          <w:bottom w:w="0" w:type="dxa"/>
          <w:right w:w="0" w:type="dxa"/>
        </w:tblCellMar>
      </w:tblPr>
      <w:tblGrid>
        <w:gridCol w:w="60"/>
        <w:gridCol w:w="110"/>
        <w:gridCol w:w="66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6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fail to adequately protect and police our trademarks and trade secrets;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patents of others may have an adverse effect on our business, including if others obtain patents claiming subject matter similar to or improving that covered by our patents and patent applications.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Should any of these events occur, they could significantly harm our business, results of operations and prospects.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Other Risks Related to Our Business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fail to attract and retain senior management and key scientific personnel, our business may be materially and adversely affected.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success depends in part on our continued ability to attract, retain and motivate highly qualified management and clinical and scientific personnel. We are highly dependent upon members of our senior management, particularly our Chief Executive Officer, Senthil Sundaram, and President and Chief Medical Officer, Erin Quirk, M.D., as well as our senior scientists and other members of our senior management team. The loss of services of any of these individuals could delay or prevent the successful development of our pipeline, initiation or completion of our planned clinical trials or the commercialization of our current or future single-agent and combination therapy candidates.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will need to increase the size of our organization, and we may experience difficulties in managing growth.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2020, we had 30 full-time employees. We will need to continue to expand our managerial, operational, finance and other resources in order to manage our operations and clinical trials, continue our development activities and, if approved, commercialize our preclinical and clinical-stage single-agent and combination therapy candidates or any future single-agent and combination therapy candidates. Our management and personnel, systems and facilities currently in place may not be adequate to support this future growth. Our need to effectively execute our growth strategy requires that we: </w:t>
      </w:r>
    </w:p>
    <w:tbl>
      <w:tblPr>
        <w:tblW w:w="5140" w:type="dxa"/>
        <w:jc w:val="left"/>
        <w:tblInd w:w="0" w:type="dxa"/>
        <w:tblCellMar>
          <w:top w:w="0" w:type="dxa"/>
          <w:left w:w="0" w:type="dxa"/>
          <w:bottom w:w="0" w:type="dxa"/>
          <w:right w:w="0" w:type="dxa"/>
        </w:tblCellMar>
      </w:tblPr>
      <w:tblGrid>
        <w:gridCol w:w="60"/>
        <w:gridCol w:w="110"/>
        <w:gridCol w:w="49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9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manage our preclinical studies and clinical trials effectively;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identify, recruit, retain, incentivize and integrate additional employees, including additional clinical development and sales personnel;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manage our internal development and operational efforts effectively while carrying out our contractual obligations to third parties; and </w:t>
            </w:r>
          </w:p>
        </w:tc>
      </w:tr>
    </w:tbl>
    <w:tbl>
      <w:tblPr>
        <w:tblW w:w="8755" w:type="dxa"/>
        <w:jc w:val="left"/>
        <w:tblInd w:w="0" w:type="dxa"/>
        <w:tblCellMar>
          <w:top w:w="0" w:type="dxa"/>
          <w:left w:w="0" w:type="dxa"/>
          <w:bottom w:w="0" w:type="dxa"/>
          <w:right w:w="0" w:type="dxa"/>
        </w:tblCellMar>
      </w:tblPr>
      <w:tblGrid>
        <w:gridCol w:w="60"/>
        <w:gridCol w:w="110"/>
        <w:gridCol w:w="85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5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continue to improve our operational, financial and management controls, reports systems and procedures. </w:t>
            </w:r>
          </w:p>
        </w:tc>
      </w:tr>
    </w:tbl>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not successful in identifying, developing and commercializing additional single-agent and combination therapy candidates, our ability to expand our business and achieve our strategic objectives would be impaired.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the development and commercialization of TERN-101, TERN-201 and TERN-501 is currently our primary focus, as part of our longer-term growth strategy, we plan to evaluate the development and commercialization of other therapies related to NASH and other chronic liver diseases. The success of this strategy depends primarily upon our ability to identify and validate new therapeutic candidates, and to identify, develop and commercialize new drugs and biologics. Our research efforts may initially show promise in discovering potential new drugs and biologics, yet fail to yield single-agent and combination therapy candidates for clinical development for a number of reasons,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need to rely on third parties to generate molecules for some of our single-agent or combination therapy candidate programs;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encounter drug manufacturing difficulties that limit yield or produce undesirable characteristics that increase the cost of manufacturing our single-agent and combination therapy candidates, cause delays or make our single-agent and combination therapy candidates unmarketable;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single-agent and combination therapy candidates may cause adverse effects in patients or subjects, even after successful initial toxicology studies, which may make the single-agent and combination therapy candidates unmarketable;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single-agent and combination therapy candidates may not demonstrate a meaningful benefit to patients or subjects;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future collaboration partners may change their development profiles or plans for potential single-agent and combination therapy candidates or abandon a therapeutic area or the development of a partnered single-agent or combination therapy candidate.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these events occur, we may be forced to abandon our development efforts for one or more programs, which could have a material adverse effect on our business, operating results and prospects and could potentially cause us to cease operations. Future research programs to identify new single-agent and combination therapy candidates may require substantial technical, financial and human resources. We may focus our efforts and resources on potential programs or single-agent and combination therapy candidates that ultimately prove to be unsuccessful.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Single-agent and combination therapy candidates may require additional, time-consuming development efforts prior to commercial sale, including preclinical studies, clinical trials and approval by the FDA and/or comparable foreign regulatory authorities. All single-agent and combination therapy candidates are prone to the risks of failure that are inherent in pharmaceutical product development, including the possibility that the single-agent or combination therapy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product liability lawsuits are brought against us, we may incur substantial liabilities and may be required to limit commercialization of our current or future single-agent and combination therapy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face an inherent risk of product liability as a result of the clinical testing of our single-agent and combination therapy candidates and will face an even greater risk if we commercialize any single-agent or combination therapies. For example, we may be sued if any drug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breach of warranty. Claims could also be asserted under state consumer protection acts. If we cannot successfully defend ourselves against product liability claims, we may incur substantial liabilities or be required to limit commercialization of our single-agent and combination therapy candidates. Even a successful defense would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require significant financial and management resources. Regardless of the merits or eventual outcome, liability claims may result in: </w:t>
      </w:r>
    </w:p>
    <w:tbl>
      <w:tblPr>
        <w:tblW w:w="7765" w:type="dxa"/>
        <w:jc w:val="left"/>
        <w:tblInd w:w="0" w:type="dxa"/>
        <w:tblCellMar>
          <w:top w:w="0" w:type="dxa"/>
          <w:left w:w="0" w:type="dxa"/>
          <w:bottom w:w="0" w:type="dxa"/>
          <w:right w:w="0" w:type="dxa"/>
        </w:tblCellMar>
      </w:tblPr>
      <w:tblGrid>
        <w:gridCol w:w="60"/>
        <w:gridCol w:w="110"/>
        <w:gridCol w:w="75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5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decreased demand for our current or future single-agent and combination therapy candidates; </w:t>
            </w:r>
          </w:p>
        </w:tc>
      </w:tr>
    </w:tbl>
    <w:tbl>
      <w:tblPr>
        <w:tblW w:w="2200" w:type="dxa"/>
        <w:jc w:val="left"/>
        <w:tblInd w:w="0" w:type="dxa"/>
        <w:tblCellMar>
          <w:top w:w="0" w:type="dxa"/>
          <w:left w:w="0" w:type="dxa"/>
          <w:bottom w:w="0" w:type="dxa"/>
          <w:right w:w="0" w:type="dxa"/>
        </w:tblCellMar>
      </w:tblPr>
      <w:tblGrid>
        <w:gridCol w:w="60"/>
        <w:gridCol w:w="110"/>
        <w:gridCol w:w="20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0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injury to our reputation; </w:t>
            </w:r>
          </w:p>
        </w:tc>
      </w:tr>
    </w:tbl>
    <w:tbl>
      <w:tblPr>
        <w:tblW w:w="3265" w:type="dxa"/>
        <w:jc w:val="left"/>
        <w:tblInd w:w="0" w:type="dxa"/>
        <w:tblCellMar>
          <w:top w:w="0" w:type="dxa"/>
          <w:left w:w="0" w:type="dxa"/>
          <w:bottom w:w="0" w:type="dxa"/>
          <w:right w:w="0" w:type="dxa"/>
        </w:tblCellMar>
      </w:tblPr>
      <w:tblGrid>
        <w:gridCol w:w="60"/>
        <w:gridCol w:w="110"/>
        <w:gridCol w:w="30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0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delay or termination of clinical trials; </w:t>
            </w:r>
          </w:p>
        </w:tc>
      </w:tr>
    </w:tbl>
    <w:tbl>
      <w:tblPr>
        <w:tblW w:w="3445" w:type="dxa"/>
        <w:jc w:val="left"/>
        <w:tblInd w:w="0" w:type="dxa"/>
        <w:tblCellMar>
          <w:top w:w="0" w:type="dxa"/>
          <w:left w:w="0" w:type="dxa"/>
          <w:bottom w:w="0" w:type="dxa"/>
          <w:right w:w="0" w:type="dxa"/>
        </w:tblCellMar>
      </w:tblPr>
      <w:tblGrid>
        <w:gridCol w:w="60"/>
        <w:gridCol w:w="110"/>
        <w:gridCol w:w="32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2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withdrawal of clinical trial participants; </w:t>
            </w:r>
          </w:p>
        </w:tc>
      </w:tr>
    </w:tbl>
    <w:tbl>
      <w:tblPr>
        <w:tblW w:w="3220" w:type="dxa"/>
        <w:jc w:val="left"/>
        <w:tblInd w:w="0" w:type="dxa"/>
        <w:tblCellMar>
          <w:top w:w="0" w:type="dxa"/>
          <w:left w:w="0" w:type="dxa"/>
          <w:bottom w:w="0" w:type="dxa"/>
          <w:right w:w="0" w:type="dxa"/>
        </w:tblCellMar>
      </w:tblPr>
      <w:tblGrid>
        <w:gridCol w:w="60"/>
        <w:gridCol w:w="110"/>
        <w:gridCol w:w="30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0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costs to defend the related litigation; </w:t>
            </w:r>
          </w:p>
        </w:tc>
      </w:tr>
    </w:tbl>
    <w:tbl>
      <w:tblPr>
        <w:tblW w:w="4345" w:type="dxa"/>
        <w:jc w:val="left"/>
        <w:tblInd w:w="0" w:type="dxa"/>
        <w:tblCellMar>
          <w:top w:w="0" w:type="dxa"/>
          <w:left w:w="0" w:type="dxa"/>
          <w:bottom w:w="0" w:type="dxa"/>
          <w:right w:w="0" w:type="dxa"/>
        </w:tblCellMar>
      </w:tblPr>
      <w:tblGrid>
        <w:gridCol w:w="60"/>
        <w:gridCol w:w="110"/>
        <w:gridCol w:w="41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1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diversion of management’s time and our resources; </w:t>
            </w:r>
          </w:p>
        </w:tc>
      </w:tr>
    </w:tbl>
    <w:tbl>
      <w:tblPr>
        <w:tblW w:w="5080" w:type="dxa"/>
        <w:jc w:val="left"/>
        <w:tblInd w:w="0" w:type="dxa"/>
        <w:tblCellMar>
          <w:top w:w="0" w:type="dxa"/>
          <w:left w:w="0" w:type="dxa"/>
          <w:bottom w:w="0" w:type="dxa"/>
          <w:right w:w="0" w:type="dxa"/>
        </w:tblCellMar>
      </w:tblPr>
      <w:tblGrid>
        <w:gridCol w:w="60"/>
        <w:gridCol w:w="110"/>
        <w:gridCol w:w="49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9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substantial monetary awards to trial participants or patients; </w:t>
            </w:r>
          </w:p>
        </w:tc>
      </w:tr>
    </w:tbl>
    <w:tbl>
      <w:tblPr>
        <w:tblW w:w="8740" w:type="dxa"/>
        <w:jc w:val="left"/>
        <w:tblInd w:w="0" w:type="dxa"/>
        <w:tblCellMar>
          <w:top w:w="0" w:type="dxa"/>
          <w:left w:w="0" w:type="dxa"/>
          <w:bottom w:w="0" w:type="dxa"/>
          <w:right w:w="0" w:type="dxa"/>
        </w:tblCellMar>
      </w:tblPr>
      <w:tblGrid>
        <w:gridCol w:w="60"/>
        <w:gridCol w:w="110"/>
        <w:gridCol w:w="85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5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regulatory investigations, product recalls, withdrawals or labeling, marketing or promotional restrictions; </w:t>
            </w:r>
          </w:p>
        </w:tc>
      </w:tr>
    </w:tbl>
    <w:tbl>
      <w:tblPr>
        <w:tblW w:w="1855" w:type="dxa"/>
        <w:jc w:val="left"/>
        <w:tblInd w:w="0" w:type="dxa"/>
        <w:tblCellMar>
          <w:top w:w="0" w:type="dxa"/>
          <w:left w:w="0" w:type="dxa"/>
          <w:bottom w:w="0" w:type="dxa"/>
          <w:right w:w="0" w:type="dxa"/>
        </w:tblCellMar>
      </w:tblPr>
      <w:tblGrid>
        <w:gridCol w:w="60"/>
        <w:gridCol w:w="110"/>
        <w:gridCol w:w="16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6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loss of revenue; and </w:t>
            </w:r>
          </w:p>
        </w:tc>
      </w:tr>
    </w:tbl>
    <w:tbl>
      <w:tblPr>
        <w:tblW w:w="9805" w:type="dxa"/>
        <w:jc w:val="left"/>
        <w:tblInd w:w="0" w:type="dxa"/>
        <w:tblCellMar>
          <w:top w:w="0" w:type="dxa"/>
          <w:left w:w="0" w:type="dxa"/>
          <w:bottom w:w="0" w:type="dxa"/>
          <w:right w:w="0" w:type="dxa"/>
        </w:tblCellMar>
      </w:tblPr>
      <w:tblGrid>
        <w:gridCol w:w="60"/>
        <w:gridCol w:w="110"/>
        <w:gridCol w:w="96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6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inability to commercialize our current or any future single-agent and combination therapy candidates, if approved.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are unable to obtain and maintain sufficient product liability insurance at an acceptable cost and scope of coverage to protect against potential product liability claims, the commercialization of our current or any future single-agent and combination therapy candidates we develop could be inhibited or prevented. We currently carry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single-agent or combination therapy candidates, we intend to expand our insurance coverage to include the sale of such single-agent or combination therapy candidate; however, we may be unable to obtain this liability insurance on commercially reasonable terms or at all.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As a company with some operations and vendors located outside of the United States, our business is subject to economic, political, regulatory and other risks associated with international operations.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a company with some operations and vendors in China, our business is subject to risks associated with conducting business outside the United States. Accordingly, our future results could be harmed by a variety of factors, including: </w:t>
      </w:r>
    </w:p>
    <w:tbl>
      <w:tblPr>
        <w:tblW w:w="9130" w:type="dxa"/>
        <w:jc w:val="left"/>
        <w:tblInd w:w="0" w:type="dxa"/>
        <w:tblCellMar>
          <w:top w:w="0" w:type="dxa"/>
          <w:left w:w="0" w:type="dxa"/>
          <w:bottom w:w="0" w:type="dxa"/>
          <w:right w:w="0" w:type="dxa"/>
        </w:tblCellMar>
      </w:tblPr>
      <w:tblGrid>
        <w:gridCol w:w="60"/>
        <w:gridCol w:w="110"/>
        <w:gridCol w:w="89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9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economic weakness, including inflation, or political instability in particular non-U.S. economies and markets;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differing jurisdictions could present different issues for securing, maintaining or obtaining freedom to operate in such jurisdictions; </w:t>
            </w:r>
          </w:p>
        </w:tc>
      </w:tr>
    </w:tbl>
    <w:tbl>
      <w:tblPr>
        <w:tblW w:w="5260" w:type="dxa"/>
        <w:jc w:val="left"/>
        <w:tblInd w:w="0" w:type="dxa"/>
        <w:tblCellMar>
          <w:top w:w="0" w:type="dxa"/>
          <w:left w:w="0" w:type="dxa"/>
          <w:bottom w:w="0" w:type="dxa"/>
          <w:right w:w="0" w:type="dxa"/>
        </w:tblCellMar>
      </w:tblPr>
      <w:tblGrid>
        <w:gridCol w:w="60"/>
        <w:gridCol w:w="110"/>
        <w:gridCol w:w="50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0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potentially reduced protection for intellectual property rights;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difficulties in compliance with different, complex and changing laws, regulations and court systems of multiple jurisdictions and compliance with a wide variety of foreign laws, treaties and regulations; </w:t>
            </w:r>
          </w:p>
        </w:tc>
      </w:tr>
    </w:tbl>
    <w:tbl>
      <w:tblPr>
        <w:tblW w:w="5920" w:type="dxa"/>
        <w:jc w:val="left"/>
        <w:tblInd w:w="0" w:type="dxa"/>
        <w:tblCellMar>
          <w:top w:w="0" w:type="dxa"/>
          <w:left w:w="0" w:type="dxa"/>
          <w:bottom w:w="0" w:type="dxa"/>
          <w:right w:w="0" w:type="dxa"/>
        </w:tblCellMar>
      </w:tblPr>
      <w:tblGrid>
        <w:gridCol w:w="60"/>
        <w:gridCol w:w="110"/>
        <w:gridCol w:w="57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7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changes in non-U.S. regulations and customs, tariffs and trade barriers; </w:t>
            </w:r>
          </w:p>
        </w:tc>
      </w:tr>
    </w:tbl>
    <w:tbl>
      <w:tblPr>
        <w:tblW w:w="9220" w:type="dxa"/>
        <w:jc w:val="left"/>
        <w:tblInd w:w="0" w:type="dxa"/>
        <w:tblCellMar>
          <w:top w:w="0" w:type="dxa"/>
          <w:left w:w="0" w:type="dxa"/>
          <w:bottom w:w="0" w:type="dxa"/>
          <w:right w:w="0" w:type="dxa"/>
        </w:tblCellMar>
      </w:tblPr>
      <w:tblGrid>
        <w:gridCol w:w="60"/>
        <w:gridCol w:w="110"/>
        <w:gridCol w:w="90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0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changes in non-U.S. currency exchange rates of the Renminbi, or RMB, U.S. dollar, euro and currency controls; </w:t>
            </w:r>
          </w:p>
        </w:tc>
      </w:tr>
    </w:tbl>
    <w:tbl>
      <w:tblPr>
        <w:tblW w:w="6565" w:type="dxa"/>
        <w:jc w:val="left"/>
        <w:tblInd w:w="0" w:type="dxa"/>
        <w:tblCellMar>
          <w:top w:w="0" w:type="dxa"/>
          <w:left w:w="0" w:type="dxa"/>
          <w:bottom w:w="0" w:type="dxa"/>
          <w:right w:w="0" w:type="dxa"/>
        </w:tblCellMar>
      </w:tblPr>
      <w:tblGrid>
        <w:gridCol w:w="60"/>
        <w:gridCol w:w="110"/>
        <w:gridCol w:w="63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3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changes in a specific country’s or region’s political or economic environment;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9175" w:type="dxa"/>
        <w:jc w:val="left"/>
        <w:tblInd w:w="0" w:type="dxa"/>
        <w:tblCellMar>
          <w:top w:w="0" w:type="dxa"/>
          <w:left w:w="0" w:type="dxa"/>
          <w:bottom w:w="0" w:type="dxa"/>
          <w:right w:w="0" w:type="dxa"/>
        </w:tblCellMar>
      </w:tblPr>
      <w:tblGrid>
        <w:gridCol w:w="60"/>
        <w:gridCol w:w="110"/>
        <w:gridCol w:w="90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00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trade protection measures, import or export licensing requirements or other restrictive actions by governments; </w:t>
            </w:r>
          </w:p>
        </w:tc>
      </w:tr>
    </w:tbl>
    <w:tbl>
      <w:tblPr>
        <w:tblW w:w="4210" w:type="dxa"/>
        <w:jc w:val="left"/>
        <w:tblInd w:w="0" w:type="dxa"/>
        <w:tblCellMar>
          <w:top w:w="0" w:type="dxa"/>
          <w:left w:w="0" w:type="dxa"/>
          <w:bottom w:w="0" w:type="dxa"/>
          <w:right w:w="0" w:type="dxa"/>
        </w:tblCellMar>
      </w:tblPr>
      <w:tblGrid>
        <w:gridCol w:w="60"/>
        <w:gridCol w:w="110"/>
        <w:gridCol w:w="40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04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negative consequences from changes in tax laws;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compliance with tax, employment, immigration and labor laws for employees living or traveling abroad, including, for example, the variable tax treatment in different jurisdictions of options granted or to be granted under our 2017 Equity Incentive Plan or our 2021 Incentive Award Plan; </w:t>
            </w:r>
          </w:p>
        </w:tc>
      </w:tr>
    </w:tbl>
    <w:tbl>
      <w:tblPr>
        <w:tblW w:w="8035" w:type="dxa"/>
        <w:jc w:val="left"/>
        <w:tblInd w:w="0" w:type="dxa"/>
        <w:tblCellMar>
          <w:top w:w="0" w:type="dxa"/>
          <w:left w:w="0" w:type="dxa"/>
          <w:bottom w:w="0" w:type="dxa"/>
          <w:right w:w="0" w:type="dxa"/>
        </w:tblCellMar>
      </w:tblPr>
      <w:tblGrid>
        <w:gridCol w:w="60"/>
        <w:gridCol w:w="110"/>
        <w:gridCol w:w="78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8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workforce uncertainty in countries where labor unrest is more common than in the United States;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 </w:t>
            </w:r>
          </w:p>
        </w:tc>
      </w:tr>
    </w:tbl>
    <w:tbl>
      <w:tblPr>
        <w:tblW w:w="9175" w:type="dxa"/>
        <w:jc w:val="left"/>
        <w:tblInd w:w="0" w:type="dxa"/>
        <w:tblCellMar>
          <w:top w:w="0" w:type="dxa"/>
          <w:left w:w="0" w:type="dxa"/>
          <w:bottom w:w="0" w:type="dxa"/>
          <w:right w:w="0" w:type="dxa"/>
        </w:tblCellMar>
      </w:tblPr>
      <w:tblGrid>
        <w:gridCol w:w="60"/>
        <w:gridCol w:w="110"/>
        <w:gridCol w:w="90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00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difficulties associated with staffing and managing international operations, including differing labor relations; </w:t>
            </w:r>
          </w:p>
        </w:tc>
      </w:tr>
    </w:tbl>
    <w:tbl>
      <w:tblPr>
        <w:tblW w:w="9880" w:type="dxa"/>
        <w:jc w:val="left"/>
        <w:tblInd w:w="0" w:type="dxa"/>
        <w:tblCellMar>
          <w:top w:w="0" w:type="dxa"/>
          <w:left w:w="0" w:type="dxa"/>
          <w:bottom w:w="0" w:type="dxa"/>
          <w:right w:w="0" w:type="dxa"/>
        </w:tblCellMar>
      </w:tblPr>
      <w:tblGrid>
        <w:gridCol w:w="60"/>
        <w:gridCol w:w="110"/>
        <w:gridCol w:w="97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7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production shortages resulting from any events affecting raw material supply or manufacturing capabilities abroad;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business interruptions resulting from geo-political actions, including war and terrorism, health epidemics, or natural disasters including earthquakes, typhoons, floods and fires.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See “—Risks Related to Doing Business in China” for additional risks related to our operations in China.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business involves the use of hazardous materials, and we and our suppliers must comply with environmental laws and regulations, which can be expensive and restrict how we do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research and development activities and our third-party suppliers’ activities involve the controlled storage, use and disposal of hazardous materials owned by us, including the components of our single-agent and combination therapy candidates and other hazardous compounds. We and any third-party manufacturers and suppliers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and those or our third-party manufacturers and CROs involve the use of hazardous and flammable materials, including chemicals and biological and radioactive materials. Our operations and those of our third-party manufacturers and CROs also produce hazardous waste. In some cases, these hazardous materials and various wastes resulting from their use are stored at our and our manufacturers’ and CROs’ facilities pending their use and disposal. We generally contract with third parties for the disposal of these materials and wastes. We cannot eliminate the risk of contamination, which could cause an interruption of our commercialization efforts, research and development efforts and business operations, and environmental damage resulting in costly clean-up and liabilities under applicable laws and regulations governing the use, storage, handling and disposal of these materials and specified waste products.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guarantee that the safety procedures utilized by our third-party manufacturers and CROs for handling and disposing of these materials comply with the standards prescribed by these laws and regulations, nor can we eliminate the risk of accidental contamination or injury from these materials. Under certain environmental laws, we could be held responsible for costs relating to any contamination at our current or past facilities and at third-party facilities.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hazardous materials or wastes. Although we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results of operations and financial condition.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face potential liability related to the privacy of health information we utilize in the development of products, as well as information we obtain from clinical trials sponsored by us from research institutions and directly from individuals.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our partners and vendors are subject to various federal, state and foreign data protection laws and regulations (</w:t>
      </w:r>
      <w:r>
        <w:rPr>
          <w:rFonts w:ascii="Times New Roman" w:hAnsi="Times New Roman"/>
          <w:b w:val="false"/>
          <w:i/>
          <w:caps w:val="false"/>
          <w:smallCaps w:val="false"/>
          <w:sz w:val="20"/>
        </w:rPr>
        <w:t>i.e.,</w:t>
      </w:r>
      <w:r>
        <w:rPr>
          <w:rFonts w:ascii="Times New Roman" w:hAnsi="Times New Roman"/>
          <w:b w:val="false"/>
          <w:i w:val="false"/>
          <w:caps w:val="false"/>
          <w:smallCaps w:val="false"/>
          <w:sz w:val="20"/>
        </w:rPr>
        <w:t xml:space="preserve"> laws and regulations that address data privacy and security). If we or our partners or vendors fail to comply with these laws and regulations we may be subject to litigation, regulatory investigations, enforcement notices, enforcement actions, fines, and criminal or civil penalties, as well as negative publicity and a potential loss of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For example, most healthcare providers, including research institutions from which we obtain patient health information, are subject to privacy and security regulations promulgated under HIPAA, as amended by the Health Information Technology for Economic and Clinical Health Act of 2009. Under HIPAA, we could potentially face substantial criminal or civil penalties if we knowingly receive individually identifiable health information from a HIPAA-covered healthcare provider or research institution that has not satisfied HIPAA’s requirements for disclosure of individually identifiable health information, or otherwise violate applicable HIPAA requirements related to the protection of such information. Even when HIPAA does not apply, failing to take appropriate steps to keep consumers’ personal information secure may constitute a violation of the Federal Trade Commission Act.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once we commence clinical trials,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These state laws include the recently enacted California Consumer Privacy Act, or the CCPA, which establishes additional data privacy rights for residents of the State of California, including expanded rights to access and delete their personal information, opt out of certain personal information sharing and receive detailed information about how their personal information is used. The CCPA also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Further, in November 2020, the California Privacy Rights Act, or the CPRA, was voted into law by California residents. The CPRA significantly amends the CCPA, and imposes additional data protection obligations on companies doing business in California, including additional consumer rights processes and opt outs for certain uses of sensitive data. It also creates a new California data protection agency specifically tasked to enforce the law, which would likely result in increased regulatory scrutiny of California businesses in the areas of data protection and security. The substantive requirements for businesses subject to the CPRA will go into effect in January 2023, and become enforceable in July 2023. Similar laws have been proposed in other states and at the federal level, and if passed, such laws may have potentially conflicting requirements that would make compliance challenging.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clinical trial programs and research collaborations, among other activities, that we engage in outside the United States may implicate international data protection laws, including, in Europe, the General Data Protection Regulation, or the GDPR, which became effective in 2018. The GDPR imposes stringent operational requirements for processors and controllers of personal data. Among other things, the GDPR requires detailed notices and consent requirements for clinical trial subjects and investigators and other data subjects, procedures regarding the security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personal data and notification of data processing obligations or security incidents to appropriate data protection authorities or data subjects, and honoring and providing for the rights of individuals within the EEA and the United Kingdom in relation to their personal data, including the right to access, correct and delete their data. If our privacy or data security measures fail to comply with the requirements of the GDPR or other applicable laws or regulations, we may be subject to litigation, regulatory investigations, enforcement notices, and/or enforcement actions requiring us to change the way we use personal data and/or fines. In addition to statutory enforcement, a personal data breach can lead to negative publicity and a potential loss of business. Further, following the United Kingdom’s withdrawal from the EU effective as of December 31, 2020, we will have to comply with the GDPR and the GDPR as incorporated into United Kingdom national law, which may have differing requirements. If we fail to comply with any such data protection laws, we may be subject to litigation, regulatory investigations, enforcement notices, and/or enforcement actions, as well as negative publicity and a potential loss of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also subject to evolving EEA laws on data export, as we may transfer personal data from the EEA to other jurisdictions. Recent legal developments in Europe have created complexity and uncertainty regarding transfers of personal data from the EEA to the United States. For example, in July 2020, the Court of Justice of the European Union, or CJEU, invalidated the EU-US Privacy Shield Framework, or Privacy Shield, under which personal data could be transferred from the EEA to United States entities who had self-certified under the Privacy Shield scheme. Moreover, it is uncertain whether the standard contractual clauses will also be invalidated by the European courts or legislature. As government authorities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These laws and regulations may apply, not only to us, but also to vendors that store or otherwise process data on our behalf, such as information technology vendors. If such a vendor misuses data we have provided to it, or fails to safeguard such data, we may be subject to litigation, regulatory investigations, enforcement notices, and/or enforcement actions, as well as negative publicity and a potential loss of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likely to be required to expend significant capital and other resources to ensure ongoing compliance with applicable privacy and data security laws. Claims that we have violated individuals’ privacy rights, failed to comply with applicable laws or breached our contractual obligations, even if we are not found liable, could be expensive and time-consuming to defend, and could result in adverse publicity that could harm our business. Moreover, even if we take all necessary action to comply with regulatory requirements, we could be subject to a hack or data breach, which could subject us to fines and penalties, as well as reputational damage.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or our partners or vendors fail to comply with applicable federal, state, or local regulatory requirements, we could be subject to a range of regulatory actions that could affect our or any collaborators’ ability to seek to commercialize our clinical candidates. Any threatened or actual government enforcement action could also generate adverse publicity and require that we devote substantial resources that could otherwise be used in other aspects of our business. Any of the foregoing could harm our competitive position, business, financial condition, results of operations and prospects.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or the third parties upon whom we depend may be adversely affected by earthquakes or other natural disasters, and our business continuity and disaster recovery plans may not adequately protect us from a serious disaster.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corporate headquarters and other facilities are located in the San Francisco Bay Area, which has experienced both severe earthquakes and the effects of wildfires. We do not carry earthquake insurance. Earthquakes, wildfires or other natural disasters could severely disrupt our operations, and could materially and adversely affect our business, financial condition, results of operations and prospects.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 natural disaster, power outage or other event occurred that damaged critical infrastructure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90</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integral parties in our supply chain are similarly vulnerable to natural disasters or other sudden, unforeseen and severe adverse events. If such an event were to affect our supply chain, it could have a material adverse effect on our business.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Significant disruptions of information technology systems, breaches of data security and other incidents could materially adversely affect our business, results of operations and financial condition.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have access to our confidential information. Our internal information technology systems and infrastructure, and those of any future collaborators and our contractors, consultants, vendors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persons inside our organization or persons with access to systems inside our organization.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prevalent use of mobile devices that access confidential information also increases the risk of lost or stolen devices, security incidents and data security breaches, which could lead to the loss of confidential information or other intellectual property. As a result of the COVID-19 pandemic, we may face increased risks of a security breach or disruption due to our reliance on internet technology and the number of our employees who are working remotely, which may create additional opportunities for cybercriminals to exploit vulnerabilities. The costs to us to investigate, mitigate and remediate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Any security compromise affecting us, our partners or our industry, whether real or perceived, could harm our reputation, erode confidence in the effectiveness of our security measures and lead to regulatory scrutiny. Moreover, if a computer security breach affects our systems or results in the unauthorized access to or unauthorized use, disclosure, release or other processing of personally identifiable information or clinical trial data, it may be necessary to notify individuals, governmental authorities, supervisory bodies, the media and other parties pursuant to privacy and security laws, and our reputation could be materially damaged. We would also be exposed to a risk of loss, governmental investigations or enforcement, or litigation and potential liability, which could materially adversely affect our business, results of operations and financial condition.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internal computer systems, or those used by our third-party research institution collaborators, CROs or other contractors or consultants, may fail or suffer security breaches.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outsourced elements of our operations to third parties, and as a result we manage a number of third-party contractors who have access to our confidential information.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Despite the implementation of security measures, our internal computer systems and those of our CROs and other contractors and consultants are vulnerable to damage from computer viruses and unauthorized access. Although to our knowledge we have not experienced any such material system failure or security breach to date, if such an event were to occur and cause interruptions in our operations or those of our third-party CROs, vendors, and other contractors and consultants,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single-agent and combination therapy candidates and other third parties for the manufacture of our single-agent and combination therapy candidates and to conduct clinical trials, and similar events relating to their computer systems could also have a material adverse effect on our business. To the extent that any disruption or security breach were to result in a loss of, or damage to, our data or applications, or those of our third-party CROs, vendors, and other contractors and consultants, or inappropriate disclosure of confidential or proprietary information or patient information, we could incur liability and the further development and commercialization of our single-agent and combination therapy candidates could be delayed.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we have not experienced any such system failure, accident or security breach to date, we cannot assure you that our data protection efforts and our investment in information technology will prevent significant breakdowns, data leakages, breaches in our systems, or those of our third-party CROs,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vendors, and other contractors and consultants, it could result in a material disruption of our programs and the development of our single-agent and combination therapy candidates could be delayed. In addition, the loss of clinical trial data for our single-agent and combination therapy candidates could result in delays in our marketing approval efforts and significantly increase our costs to recover or reproduce the data. Furthermore, significant disruptions of our internal information technology systems, or those of our third-party CROs,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and will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 the proprietary nature of our intellectual property.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costs related to significant security breaches or disruptions could be material and exceed the limits of any applicable insurance we may maintain against such risks. If the information technology systems of our third-party CROs,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92</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Doing Business in China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The pharmaceutical industry in China is highly regulated and such regulations are subject to change which may affect approval and commercialization of our single-agent and combination therapy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Some of our research and development operations and manufacturing facilities are in the People’s Republic of China, which we refer to as China or PRC. The pharmaceutical industry in China is subject to comprehensive government regulation and supervision, encompassing the approval, registration, manufacturing, packaging, licensing and marketing of new drugs.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our single-agent and combination therapy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China. We believe our strategy and approach are aligned with the PRC government’s regulatory policies, but we cannot ensure that our strategy and approach will continue to be aligned.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fail to comply with environmental, health and safety laws and regulations of China, we could become subject to fines or penalties or incur costs that could have a material adverse effect on the success of our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subject to numerous environmental, health and safety laws and regulations, including those governing laboratory procedures and the handling, use, storage, treatment and disposal of hazardous materials and wastes. Our manufacturing operations primarily occur in China and involve the use of hazardous materials, including chemical materials. Our operations also produce hazardous waste products. We are therefore subject to PRC laws and regulations concerning the discharge of waste water, gaseous waste and solid waste during our processes of research and development of our single-agent and combination therapy candidates. We engage competent third-party contractors for the transfer and disposal of these materials and wastes. We may not comply fully with environmental regulations at all times. Any violation of these regulations may result in substantial fines, criminal sanctions, revocations of operating permits, shutdown of our facilities and obligations to take corrective measures. We cannot completely eliminate the risk of contamination or injury from these materials and wastes. In the event of contamination or injury resulting from the use or discharge of hazardous materials, we could be held liable for any resulting damages, and any liability could exceed our resources. We also could incur significant costs associated with civil, administrative or criminal fines and penalties.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we maintain workers’ compensation insurance to cover costs and expenses incurred due to on-the-job injuries to our employees and third party liability insurance for injuries caused by unexpected seepage, pollution or contamination, such insurance may not provide adequate coverage against potential liabilities. Furthermore, China may take steps towards the adoption of more stringent environmental regulations. Due to the possibility of unanticipated regulatory or other developments, the amount and timing of future environmental expenditures may vary substantially from those currently anticipated. If there is any unanticipated change in the environmental regulations, we may need to incur substantial capital expenditures to install, replace, upgrade or supplement our manufacturing facility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China’s economic, political and social conditions, as well as governmental policies, could affect the business environment and financial markets in China, our ability to operate our business, our liquidity and our access to capital.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Substantially all of our manufacturing operations are conducted in China. Accordingly, our business, results of operations, financial condition and prospects may be influenced to a significant degree by economic, political, legal and social conditions in China as well as China’s economic, political, legal and social conditions in relation to the rest of the world. China’s economy differs from the economies of developed countries in many respects, including with respect to the amount of government involvement, level of development, growth rate, control of foreign exchange and allocation of resources. While China’s economy has experienced significant growth over the past 40 years, growth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has been uneven across different regions and among various economic sectors of China. China’s government has implemented various measures to encourage economic development and guide the allocation of resources. Some of these measures may benefit the overall economy in China, but may have a negative effect on us. For example, our financial condition and results of operations may be adversely affected by government control over capital investments or changes in tax regulations that are currently applicable to us. In addition, in the past, China’s government implemented certain measures, including interest rate increases, to control the pace of economic growth. These measures may cause decreased economic activity in China, which may adversely affect our business and results of operation. More generally, if the business environment in China deteriorates from the perspective of domestic or international investment, our business in China may also be adversely affected.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Failure to comply with PRC regulations regarding the registration requirements for employee stock ownership plans or share option plans may subject the PRC plan participants or us to fines and other legal or administrative sanctions.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applicable regulations and State Administration of Foreign Exchange of the People’s Republic of China, or SAFE, rules, PRC citizens who participate in an employee stock ownership plan or a stock option plan in an overseas publicly listed company are required to register with SAFE and complete certain other procedures. In February 2012, SAFE promulgated the Notices on Issues concerning the Foreign Exchange Administration for Domestic Individuals Participating in Stock Incentive Plans of Overseas Publicly Listed Companies, or the Stock Option Rules, which replaced the Application Procedures of Foreign Exchange Administration for Domestic Individuals Participating in Employee Stock Ownership Plan or Stock Option Plans of Overseas Publicly Listed Companies issued by SAFE in March 2007. Pursuant to the Stock Option Rules, if a PRC resident participates in any stock incentive plan of an overseas publicly listed company,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overseas publicly listed company must be fully remitted into a PRC collective foreign currency account opened and managed by the PRC agent before distribution to such participants. We and our PRC resident employees who have been granted stock options or other share-based incentives of ours are subject to the Stock Option Rules. If we or our PRC resident participants fail to comply with these regulations, we and/or our PRC resident participants may be subject to fines and legal sanctions.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Common Stock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stock price may be volatile and you may not be able to resell shares of our common stock at or above the price you paid.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trading price of our common stock could be highly volatile and could be subject to wide fluctuations in response to various factors, some of which are beyond our control. In particular, the trading prices for pharmaceutical, biopharmaceutical and biotechnology companies have been highly volatile as a result of the COVID-19 pandemic. These factors include those discussed in this Item 1A. “Risk Factors” section of this Annual Report on Form 10-K and others such as: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results from, and any delays in, our clinical trials for our two clinical-stage drug candidates or any other future clinical development programs, including any delays related to the COVID-19 pandemic;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announcements of regulatory approval or disapproval of our current or any future single-agent and combination therapy candidates; </w:t>
            </w:r>
          </w:p>
        </w:tc>
      </w:tr>
    </w:tbl>
    <w:tbl>
      <w:tblPr>
        <w:tblW w:w="6700" w:type="dxa"/>
        <w:jc w:val="left"/>
        <w:tblInd w:w="0" w:type="dxa"/>
        <w:tblCellMar>
          <w:top w:w="0" w:type="dxa"/>
          <w:left w:w="0" w:type="dxa"/>
          <w:bottom w:w="0" w:type="dxa"/>
          <w:right w:w="0" w:type="dxa"/>
        </w:tblCellMar>
      </w:tblPr>
      <w:tblGrid>
        <w:gridCol w:w="60"/>
        <w:gridCol w:w="110"/>
        <w:gridCol w:w="65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5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failure or discontinuation of any of our research and development programs; </w:t>
            </w:r>
          </w:p>
        </w:tc>
      </w:tr>
    </w:tbl>
    <w:tbl>
      <w:tblPr>
        <w:tblW w:w="4900" w:type="dxa"/>
        <w:jc w:val="left"/>
        <w:tblInd w:w="0" w:type="dxa"/>
        <w:tblCellMar>
          <w:top w:w="0" w:type="dxa"/>
          <w:left w:w="0" w:type="dxa"/>
          <w:bottom w:w="0" w:type="dxa"/>
          <w:right w:w="0" w:type="dxa"/>
        </w:tblCellMar>
      </w:tblPr>
      <w:tblGrid>
        <w:gridCol w:w="60"/>
        <w:gridCol w:w="110"/>
        <w:gridCol w:w="47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7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termination of any of our existing license agreements; </w:t>
            </w:r>
          </w:p>
        </w:tc>
      </w:tr>
    </w:tbl>
    <w:tbl>
      <w:tblPr>
        <w:tblW w:w="7585" w:type="dxa"/>
        <w:jc w:val="left"/>
        <w:tblInd w:w="0" w:type="dxa"/>
        <w:tblCellMar>
          <w:top w:w="0" w:type="dxa"/>
          <w:left w:w="0" w:type="dxa"/>
          <w:bottom w:w="0" w:type="dxa"/>
          <w:right w:w="0" w:type="dxa"/>
        </w:tblCellMar>
      </w:tblPr>
      <w:tblGrid>
        <w:gridCol w:w="60"/>
        <w:gridCol w:w="110"/>
        <w:gridCol w:w="74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41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announcements relating to any future licensing, collaboration or development agreements; </w:t>
            </w:r>
          </w:p>
        </w:tc>
      </w:tr>
    </w:tbl>
    <w:tbl>
      <w:tblPr>
        <w:tblW w:w="9160" w:type="dxa"/>
        <w:jc w:val="left"/>
        <w:tblInd w:w="0" w:type="dxa"/>
        <w:tblCellMar>
          <w:top w:w="0" w:type="dxa"/>
          <w:left w:w="0" w:type="dxa"/>
          <w:bottom w:w="0" w:type="dxa"/>
          <w:right w:w="0" w:type="dxa"/>
        </w:tblCellMar>
      </w:tblPr>
      <w:tblGrid>
        <w:gridCol w:w="60"/>
        <w:gridCol w:w="110"/>
        <w:gridCol w:w="89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9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delays in the commercialization of our current or any future single-agent and combination therapy candidates;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94</w:t>
      </w:r>
    </w:p>
    <w:p>
      <w:pPr>
        <w:pStyle w:val="HorizontalLine"/>
        <w:rPr/>
      </w:pPr>
      <w:r>
        <w:rPr/>
      </w:r>
    </w:p>
    <w:p>
      <w:pPr>
        <w:pStyle w:val="TextBody"/>
        <w:spacing w:before="0" w:after="0"/>
        <w:rPr/>
      </w:pPr>
      <w:r>
        <w:rPr/>
        <w:t> </w:t>
      </w:r>
    </w:p>
    <w:tbl>
      <w:tblPr>
        <w:tblW w:w="8050" w:type="dxa"/>
        <w:jc w:val="left"/>
        <w:tblInd w:w="0" w:type="dxa"/>
        <w:tblCellMar>
          <w:top w:w="0" w:type="dxa"/>
          <w:left w:w="0" w:type="dxa"/>
          <w:bottom w:w="0" w:type="dxa"/>
          <w:right w:w="0" w:type="dxa"/>
        </w:tblCellMar>
      </w:tblPr>
      <w:tblGrid>
        <w:gridCol w:w="60"/>
        <w:gridCol w:w="110"/>
        <w:gridCol w:w="788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880"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000000"/>
                <w:sz w:val="20"/>
              </w:rPr>
              <w:t>public misperception regarding the use of our single-agent and combination therapy candidates;</w:t>
            </w:r>
            <w:r>
              <w:rPr>
                <w:b w:val="false"/>
                <w:i w:val="false"/>
                <w:caps w:val="false"/>
                <w:smallCaps w:val="false"/>
                <w:color w:val="000000"/>
              </w:rPr>
              <w:t xml:space="preserve"> </w:t>
            </w:r>
          </w:p>
        </w:tc>
      </w:tr>
    </w:tbl>
    <w:tbl>
      <w:tblPr>
        <w:tblW w:w="9910" w:type="dxa"/>
        <w:jc w:val="left"/>
        <w:tblInd w:w="0" w:type="dxa"/>
        <w:tblCellMar>
          <w:top w:w="0" w:type="dxa"/>
          <w:left w:w="0" w:type="dxa"/>
          <w:bottom w:w="0" w:type="dxa"/>
          <w:right w:w="0" w:type="dxa"/>
        </w:tblCellMar>
      </w:tblPr>
      <w:tblGrid>
        <w:gridCol w:w="60"/>
        <w:gridCol w:w="110"/>
        <w:gridCol w:w="97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74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acquisitions and sales of new products or single-agent and combination therapy candidates, technologies or businesses;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manufacturing and supply issues related to our single-agent and combination therapy candidates for clinical trials or future single-agent and combination therapy candidates for commercialization; </w:t>
            </w:r>
          </w:p>
        </w:tc>
      </w:tr>
    </w:tbl>
    <w:tbl>
      <w:tblPr>
        <w:tblW w:w="6310" w:type="dxa"/>
        <w:jc w:val="left"/>
        <w:tblInd w:w="0" w:type="dxa"/>
        <w:tblCellMar>
          <w:top w:w="0" w:type="dxa"/>
          <w:left w:w="0" w:type="dxa"/>
          <w:bottom w:w="0" w:type="dxa"/>
          <w:right w:w="0" w:type="dxa"/>
        </w:tblCellMar>
      </w:tblPr>
      <w:tblGrid>
        <w:gridCol w:w="60"/>
        <w:gridCol w:w="110"/>
        <w:gridCol w:w="61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14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quarterly variations in our results of operations or those of our competitors; </w:t>
            </w:r>
          </w:p>
        </w:tc>
      </w:tr>
    </w:tbl>
    <w:tbl>
      <w:tblPr>
        <w:tblW w:w="6160" w:type="dxa"/>
        <w:jc w:val="left"/>
        <w:tblInd w:w="0" w:type="dxa"/>
        <w:tblCellMar>
          <w:top w:w="0" w:type="dxa"/>
          <w:left w:w="0" w:type="dxa"/>
          <w:bottom w:w="0" w:type="dxa"/>
          <w:right w:w="0" w:type="dxa"/>
        </w:tblCellMar>
      </w:tblPr>
      <w:tblGrid>
        <w:gridCol w:w="60"/>
        <w:gridCol w:w="110"/>
        <w:gridCol w:w="59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9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changes in earnings estimates or recommendations by securities analysts;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announcements by us or our competitors related to new or existing products or drug candidates, significant contracts, commercial relationships, acquisitions or capital commitments; </w:t>
            </w:r>
          </w:p>
        </w:tc>
      </w:tr>
    </w:tbl>
    <w:tbl>
      <w:tblPr>
        <w:tblW w:w="4885" w:type="dxa"/>
        <w:jc w:val="left"/>
        <w:tblInd w:w="0" w:type="dxa"/>
        <w:tblCellMar>
          <w:top w:w="0" w:type="dxa"/>
          <w:left w:w="0" w:type="dxa"/>
          <w:bottom w:w="0" w:type="dxa"/>
          <w:right w:w="0" w:type="dxa"/>
        </w:tblCellMar>
      </w:tblPr>
      <w:tblGrid>
        <w:gridCol w:w="60"/>
        <w:gridCol w:w="110"/>
        <w:gridCol w:w="47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71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developments with respect to intellectual property rights; </w:t>
            </w:r>
          </w:p>
        </w:tc>
      </w:tr>
    </w:tbl>
    <w:tbl>
      <w:tblPr>
        <w:tblW w:w="4495" w:type="dxa"/>
        <w:jc w:val="left"/>
        <w:tblInd w:w="0" w:type="dxa"/>
        <w:tblCellMar>
          <w:top w:w="0" w:type="dxa"/>
          <w:left w:w="0" w:type="dxa"/>
          <w:bottom w:w="0" w:type="dxa"/>
          <w:right w:w="0" w:type="dxa"/>
        </w:tblCellMar>
      </w:tblPr>
      <w:tblGrid>
        <w:gridCol w:w="60"/>
        <w:gridCol w:w="110"/>
        <w:gridCol w:w="432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32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commencement of, or involvement in, litigation; </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5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changes in financial estimates or guidance; </w:t>
            </w:r>
          </w:p>
        </w:tc>
      </w:tr>
    </w:tbl>
    <w:tbl>
      <w:tblPr>
        <w:tblW w:w="5095" w:type="dxa"/>
        <w:jc w:val="left"/>
        <w:tblInd w:w="0" w:type="dxa"/>
        <w:tblCellMar>
          <w:top w:w="0" w:type="dxa"/>
          <w:left w:w="0" w:type="dxa"/>
          <w:bottom w:w="0" w:type="dxa"/>
          <w:right w:w="0" w:type="dxa"/>
        </w:tblCellMar>
      </w:tblPr>
      <w:tblGrid>
        <w:gridCol w:w="60"/>
        <w:gridCol w:w="110"/>
        <w:gridCol w:w="492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92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any major changes in our board of directors or management; </w:t>
            </w:r>
          </w:p>
        </w:tc>
      </w:tr>
    </w:tbl>
    <w:tbl>
      <w:tblPr>
        <w:tblW w:w="9040" w:type="dxa"/>
        <w:jc w:val="left"/>
        <w:tblInd w:w="0" w:type="dxa"/>
        <w:tblCellMar>
          <w:top w:w="0" w:type="dxa"/>
          <w:left w:w="0" w:type="dxa"/>
          <w:bottom w:w="0" w:type="dxa"/>
          <w:right w:w="0" w:type="dxa"/>
        </w:tblCellMar>
      </w:tblPr>
      <w:tblGrid>
        <w:gridCol w:w="60"/>
        <w:gridCol w:w="110"/>
        <w:gridCol w:w="88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8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new legislation or regulation in the United States or abroad relating to the sale or pricing of pharmaceuticals;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FDA or other U.S. or foreign regulatory actions affecting us or our industry or the indications for which we are developing our current or future single-agent and combination therapy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product liability claims or other litigation or public concern about the safety of our single-agent and combination therapy candidates; </w:t>
            </w:r>
          </w:p>
        </w:tc>
      </w:tr>
    </w:tbl>
    <w:tbl>
      <w:tblPr>
        <w:tblW w:w="7705" w:type="dxa"/>
        <w:jc w:val="left"/>
        <w:tblInd w:w="0" w:type="dxa"/>
        <w:tblCellMar>
          <w:top w:w="0" w:type="dxa"/>
          <w:left w:w="0" w:type="dxa"/>
          <w:bottom w:w="0" w:type="dxa"/>
          <w:right w:w="0" w:type="dxa"/>
        </w:tblCellMar>
      </w:tblPr>
      <w:tblGrid>
        <w:gridCol w:w="60"/>
        <w:gridCol w:w="110"/>
        <w:gridCol w:w="75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5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market conditions in the pharmaceutical, biopharmaceutical and biotechnology sectors;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general economic conditions in the United States and abroad, including as a result of an economic recession or depression and market volatility related to the COVID-19 pandemic and global health concerns.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an “emerging growth company,” and as a result of the reduced disclosure and governance requirements applicable to emerging growth companies, our common stock may be less attractive to investors.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predict if investors will find our common stock less attractive because we will rely on these exemptions. If some investors find our common stock less attractive as a result, there may be a less active trading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95</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for our common stock and our stock price may be more volatile. We may take advantage of these reporting exemptions until we are no longer an emerging growth company. We will remain an emerging growth company until the earlier of (1) the last day of the fiscal year following the fifth anniversary of the consummation of our IPO, (2) the last day of the fiscal year in which we have total annual gross revenue of at least $1.07 billion, (3)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principal stockholders and management own a significant percentage of our stock and are able to exert significant control over matters subject to stockholder approval.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upon the number of shares of common stock outstanding as of March 19, 2021, our executive officers, directors, holders of 5% or more of our capital stock and their respective affiliates beneficially owned approximately 63.8% of our outstanding voting stock. These stockholders will have the ability to influence us through their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Sales of a substantial number of shares of our common stock in the public market could cause our stock price to fall.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our existing stockholders sell, or indicate an intention to sell, substantial amounts of our common stock in the public market after the lock-up and other legal restrictions on resale lapse, the trading price of our common stock could decline. Based upon the number of shares outstanding as of March 19, 2021, we had outstanding a total of 25,125,072 shares of common stock.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resale of 16,471,720 shares, or 65.6% of our outstanding shares of common stock, is currently prohibited or otherwise restricted as a result of securities law provisions, market standoff agreements entered into by certain of our stockholders with us or lock-up agreements entered into by our stockholders with the underwriters in connection with our IPO. The lock-up agreements pertaining to the IPO will expire in August 2021. After the lock-up agreements expire, these shares of common stock will be eligible for sale in the public market, including certain shares held by directors, executive officers and other affiliates which will be subject to Rule 144 under the Securities Act of 1933, as amended, or the Securities Act. The representatives may, however, in their sole discretion, permit our officers, directors and other stockholders who are subject to these lock-up agreements to sell shares prior to the expiration of the lock-up agreements.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had an aggregate of 2,566,282 shares of common stock that are subject to outstanding options as of March 19, 2021. Any shares subject to vested options will become eligible for sale in the public market to the extent permitted by the provisions of the lock-up agreements and Rule 144 and Rule 701 under the Securities Act. If these additional shares of common stock are sold, or if it is perceived that they will be sold, in the public market, the trading price of our common stock could decline.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holders of approximately 16,079,230 shares of our common stock, or approximately 64.0% of our total outstanding shares of common stock as of March 19, 2021,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96</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ability to use our net operating loss carryforwards and certain other tax attributes may be limited.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post-change income or taxes may be limited. We may have experienced ownership changes in the past and may experience ownership changes as a result of our IPO and/or subsequent shifts in our stock ownership (some of which are outside our control). In addition, under current tax law, federal NOLs generated in periods after December 31, 2017 may be carried forward indefinitely but in taxable years beginning after December 31, 2020, may only be used to offset 80% of our taxable income.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trading market for our common stock is influenced by the research and reports that industry or securities analysts publish about us or our business. </w:t>
      </w:r>
      <w:r>
        <w:rPr>
          <w:rFonts w:ascii="Times New Roman" w:hAnsi="Times New Roman"/>
          <w:b w:val="false"/>
          <w:i w:val="false"/>
          <w:caps w:val="false"/>
          <w:smallCaps w:val="false"/>
          <w:color w:val="000000"/>
          <w:sz w:val="20"/>
        </w:rPr>
        <w:t>We do not have any control over these analysts. There can be no assurance that analysts will continue to cover us or provide favorable coverage. </w:t>
      </w:r>
      <w:r>
        <w:rPr>
          <w:rFonts w:ascii="Times New Roman" w:hAnsi="Times New Roman"/>
          <w:b w:val="false"/>
          <w:i w:val="false"/>
          <w:caps w:val="false"/>
          <w:smallCaps w:val="false"/>
          <w:sz w:val="20"/>
        </w:rPr>
        <w:t xml:space="preserve"> In the event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Provisions in our charter documents and under Delaware law could discourage a takeover that stockholders may consider favorable and may lead to entrenchment of management.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 classified board of directors with three-year staggered terms, which may delay the ability of stockholders to change the membership of a majority of our board of directors;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no cumulative voting in the election of directors, which limits the ability of minority stockholders to elect director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exclusive right of our board of directors to elect a director to fill a vacancy, however occurring, including by an expansion of the board of directors, which prevents stockholders from being able to fill vacancies on our board of directors;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 </w:t>
            </w:r>
          </w:p>
        </w:tc>
      </w:tr>
    </w:tbl>
    <w:tbl>
      <w:tblPr>
        <w:tblW w:w="9760" w:type="dxa"/>
        <w:jc w:val="left"/>
        <w:tblInd w:w="0" w:type="dxa"/>
        <w:tblCellMar>
          <w:top w:w="0" w:type="dxa"/>
          <w:left w:w="0" w:type="dxa"/>
          <w:bottom w:w="0" w:type="dxa"/>
          <w:right w:w="0" w:type="dxa"/>
        </w:tblCellMar>
      </w:tblPr>
      <w:tblGrid>
        <w:gridCol w:w="60"/>
        <w:gridCol w:w="110"/>
        <w:gridCol w:w="95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5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ability of our board of directors to alter our amended and restated bylaws without obtaining stockholder approval;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 prohibition on stockholder action by written consent, which forces stockholder action to be taken at an annual or special meeting of our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requirement that a special meeting of stockholders may be called only by the board of directors, which may delay the ability of our stockholders to force consideration of a proposal or to take action, including the removal of directors; and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97</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As a California-domiciled public company, we are required to have at least two or three women and at least one director from an underrepresented community on our board of directors by the end of 2021, depending on the size of our board at the time.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success depends in part on our continued ability to attract, retain and motivate highly qualified individuals to our board of directors. As a public company headquartered in California, we are required to have two or three women on our board of directors by the end of 2021, depending on the size of our board of directors at the time. We are also required to have at least one director from an underrepresented community by the end of 2021 and to have two or three two or three directors from an underrepresented community by the end of 2022, depending on the size of our board of directors at the time. We currently have two women and three directors from an underrepresented community on the board of directors. Recruiting and retaining board members carries uncertainty, and failure to comply with this California requirement will result in financial penalties.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Claims for indemnification by our directors and officers may reduce our available funds to satisfy successful third-party claims against us and may reduce the amount of money available to us.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as permitted by Section 145 of the Delaware General Corporation Law, our amended and restated bylaws and our indemnification agreements that we have entered into with our directors and officers provide that: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in our discretion, indemnify employees and agents in those circumstances where indemnification is permitted by applicable law;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not retroactively amend our amended and restated bylaw provisions to reduce our indemnification obligations to directors, officers, employees and agents.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98</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we maintain a directors’ and officers’ insurance policy, such insurance may not be adequate to cover all liabilities that we may incur, which may reduce our available funds to satisfy third-party claims and may adversely impact our cash position.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amended and restated certificate of incorporation and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precludes stockholders that assert claims under the Exchange Act from bringing such claims in state or federal court, subject to applicable law.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is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do not currently intend to pay dividends on our common stock, and, consequently, your ability to achieve a return on your investment will depend on appreciation in the price of our common stock.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securities litigation, which is expensive and could divert our management’s attention.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 </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w:t>
      </w:r>
    </w:p>
    <w:p>
      <w:pPr>
        <w:pStyle w:val="HorizontalLine"/>
        <w:rPr/>
      </w:pPr>
      <w:r>
        <w:rPr/>
      </w:r>
    </w:p>
    <w:p>
      <w:pPr>
        <w:pStyle w:val="TextBody"/>
        <w:spacing w:before="0" w:after="0"/>
        <w:rPr/>
      </w:pPr>
      <w:r>
        <w:rPr/>
        <w:t> </w:t>
      </w:r>
    </w:p>
    <w:p>
      <w:pPr>
        <w:pStyle w:val="TextBody"/>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 Risk Factors</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Unfavorable global economic or political conditions could adversely affect our business, financial condition or results of operations.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is susceptible to general conditions in the global economy and in the global financial markets. A global financial crisis or a global or regional political disruption could cause extreme volatility in the capital and credit markets. A severe or prolonged economic downturn, including a recession or depression resulting from the current COVID-19 pandemic, or political disruption could result in a variety of risks to our business, including weakened demand for our current or future single-agent and combination therapy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potential drugs, if approved. Any of the foregoing could materially and adversely affect our business, financial condition, results of operations and prospects, and we cannot anticipate all of the ways in which the political or economic climate and financial market conditions could adversely impact our business.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trade secrets, our business and competitive position would be harmed.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rely on the protection of our trade secrets, including unpatented know-how, technology and other proprietary information. We have taken steps to protect our trade secrets and unpatented know-how, including entering into confidentiality agreements with third parties, and confidential information and inventions agreements with employees, consultants and advisors.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to contractual measures, we try to protect the confidential nature of our proprietary information using commonly accepted physical and technological security measures. Even though we use commonly accepted security measures, the criteria for protection of trade secrets can vary among different jurisdictions. Additionally, such security measures may not provide adequate protection for our proprietary information, for example, in the case of misappropriation of a trade secret by an employee, consultant, customer or third party with authorized access. Recourse we take against such misconduct may not provide an adequate remedy to fully protect our interests. Monitoring unauthorized uses and disclosures is difficult, and we do not know whether the steps we have taken to protect our proprietary technologies will be effective. Unauthorized parties may also attempt to copy or reverse engineer certain aspects of our single-agent and combination therapy candidates that we consider proprietary.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single-agent and combination therapy candidates,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our trademarks and trade names are not adequately protected, then we may not be able to build name recognition in our markets of interest and our business may be adversely affected.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or future trademarks or trade names may be challenged, infringed, circumvented or declared generic or descriptive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any name we have proposed to use with our single-agent and combination therapy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single-agent or combination therapy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incurred and will continue to incur significant costs as a result of operating as a public company, and our management devotes substantial time to new compliance initiatives. We may fail to comply with the rules that apply to public companies, including Section 404 of the Sarbanes-Oxley Act of 2002, or Section 404, which could result in sanctions or other penalties that could materially and adversely affect our business, financial condition, results of operations and prospects.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incurred and will continue to incur significant legal, accounting and other expenses as a public company, including costs resulting from public company reporting obligations under the Exchange Act and regulations regarding corporate governance practices. The listing requirements of The Nasdaq Stock Market LLC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need to devote a substantial amount of time to ensure that we comply with all of these requirements. Moreover, the reporting requirements, rules and regulations increase our legal and financial compliance costs and make some activities more time-consuming and costly. These reporting requirements, rules and regulations, coupled with the increase in potential litigation exposure associated with being a public company, also make it more difficult for us to attract and retain qualified persons to serve on our board of directors or board committees or to serve as executive officers, or to obtain certain types of insurance, including directors’ and officers’ insurance, on acceptable terms.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subject to Section 404 and the related rules of the SEC, which generally require our management and independent registered public accounting firm to report on the effectiveness of our internal control over financial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course of our review and testing, we may identify deficiencies and be unable to remediate them before we must provide the required reports. Furthermore, if we identify any material weaknesses,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materially and adversely affect our business, financial condition, results of operations and prospects,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and other third parties to provide timely and accurate notice of their costs to us. Any failure to report our financial results on an accurate and timely basis could result in sanctions, lawsuits, delisting of our shares from the Nasdaq Global Market or other adverse consequences that would materially and adversely affect our business, financial condition, results of operations and prospects.</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Future sales and issuances of our common stock could result in additional dilution of the percentage ownership of our stockholders and could cause our share price to fall.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 </w:t>
      </w:r>
    </w:p>
    <w:p>
      <w:pPr>
        <w:pStyle w:val="TextBody"/>
        <w:spacing w:before="0" w:after="0"/>
        <w:jc w:val="both"/>
        <w:rPr/>
      </w:pPr>
      <w:r>
        <w:rPr/>
        <w:t> </w:t>
      </w:r>
    </w:p>
    <w:p>
      <w:pPr>
        <w:pStyle w:val="TextBody"/>
        <w:spacing w:before="160" w:after="0"/>
        <w:rPr>
          <w:rFonts w:ascii="Times New Roman" w:hAnsi="Times New Roman"/>
          <w:b/>
          <w:i w:val="false"/>
          <w:caps w:val="false"/>
          <w:smallCaps w:val="false"/>
          <w:sz w:val="20"/>
        </w:rPr>
      </w:pPr>
      <w:bookmarkStart w:id="21" w:name="ITEM_1B_UNRESOLVED_STAFF_COMMENTS"/>
      <w:bookmarkEnd w:id="21"/>
      <w:r>
        <w:rPr>
          <w:rFonts w:ascii="Times New Roman" w:hAnsi="Times New Roman"/>
          <w:b/>
          <w:i w:val="false"/>
          <w:caps w:val="false"/>
          <w:smallCaps w:val="false"/>
          <w:sz w:val="20"/>
        </w:rPr>
        <w:t xml:space="preserve">Item 1B. Unresolved Staff Comments.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80" w:after="0"/>
        <w:rPr>
          <w:rFonts w:ascii="Times New Roman" w:hAnsi="Times New Roman"/>
          <w:b/>
          <w:i w:val="false"/>
          <w:caps w:val="false"/>
          <w:smallCaps w:val="false"/>
          <w:sz w:val="20"/>
        </w:rPr>
      </w:pPr>
      <w:bookmarkStart w:id="22" w:name="ITEM_2_PROPERTIES"/>
      <w:bookmarkEnd w:id="22"/>
      <w:r>
        <w:rPr>
          <w:rFonts w:ascii="Times New Roman" w:hAnsi="Times New Roman"/>
          <w:b/>
          <w:i w:val="false"/>
          <w:caps w:val="false"/>
          <w:smallCaps w:val="false"/>
          <w:sz w:val="20"/>
        </w:rPr>
        <w:t xml:space="preserve">Item 2. Properties.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lease approximately 9,750 square feet of space for our current headquarters in Foster City, California under an agreement that expires in June 2022. We also lease approximately 3,500 square feet of space for our current China office in Shanghai, China under an agreement that expires in May 2021, as well as approximately 6,000 square feet of space for our CMC chemistry, manufacturing and controls lab in Suzhou, China under an agreement that expires in September 2022. We believe that our existing facilities are adequate to meet our current needs, and that suitable additional alternative spaces will be available in the future on commercially reasonable terms. </w:t>
      </w:r>
    </w:p>
    <w:p>
      <w:pPr>
        <w:pStyle w:val="TextBody"/>
        <w:spacing w:before="280" w:after="0"/>
        <w:rPr>
          <w:rFonts w:ascii="Times New Roman" w:hAnsi="Times New Roman"/>
          <w:b/>
          <w:i w:val="false"/>
          <w:caps w:val="false"/>
          <w:smallCaps w:val="false"/>
          <w:sz w:val="20"/>
        </w:rPr>
      </w:pPr>
      <w:bookmarkStart w:id="23" w:name="ITEM_3_LEGAL_PROCEEDINGS"/>
      <w:bookmarkEnd w:id="23"/>
      <w:r>
        <w:rPr>
          <w:rFonts w:ascii="Times New Roman" w:hAnsi="Times New Roman"/>
          <w:b/>
          <w:i w:val="false"/>
          <w:caps w:val="false"/>
          <w:smallCaps w:val="false"/>
          <w:sz w:val="20"/>
        </w:rPr>
        <w:t xml:space="preserve">Item 3. Legal Proceedings.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be involved in legal proceedings or subject to claims incident to the ordinary course of business. While the outcome of any such proceedings cannot be predicted with certainty, as of December 31, 2020, we were not a party to any litigation or legal proceedings that, in the opinion of our management, are probable to have a material adverse effect on our business. Regardless of the outcome, such proceedings or claims can have an adverse impact on us because of defense and settlement costs, diversion of resources and other factors, and there can be no assurances that favorable outcomes will be obtained. </w:t>
      </w:r>
    </w:p>
    <w:p>
      <w:pPr>
        <w:pStyle w:val="TextBody"/>
        <w:spacing w:before="280" w:after="0"/>
        <w:rPr>
          <w:rFonts w:ascii="Times New Roman" w:hAnsi="Times New Roman"/>
          <w:b/>
          <w:i w:val="false"/>
          <w:caps w:val="false"/>
          <w:smallCaps w:val="false"/>
          <w:sz w:val="20"/>
        </w:rPr>
      </w:pPr>
      <w:bookmarkStart w:id="24" w:name="ITEM_4_MINE_SAFETY_DISCLOSURES"/>
      <w:bookmarkEnd w:id="24"/>
      <w:r>
        <w:rPr>
          <w:rFonts w:ascii="Times New Roman" w:hAnsi="Times New Roman"/>
          <w:b/>
          <w:i w:val="false"/>
          <w:caps w:val="false"/>
          <w:smallCaps w:val="false"/>
          <w:sz w:val="20"/>
        </w:rPr>
        <w:t>Item 4. Mine Safety Disclosures.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240" w:after="0"/>
        <w:jc w:val="center"/>
        <w:rPr>
          <w:rFonts w:ascii="Times New Roman" w:hAnsi="Times New Roman"/>
          <w:b w:val="false"/>
          <w:i w:val="false"/>
          <w:caps w:val="false"/>
          <w:smallCaps w:val="false"/>
          <w:sz w:val="20"/>
        </w:rPr>
      </w:pPr>
      <w:bookmarkStart w:id="25" w:name="_AEIOULastRenderedPageBreakAEIOU16"/>
      <w:bookmarkEnd w:id="25"/>
      <w:r>
        <w:rPr>
          <w:rFonts w:ascii="Times New Roman" w:hAnsi="Times New Roman"/>
          <w:b w:val="false"/>
          <w:i w:val="false"/>
          <w:caps w:val="false"/>
          <w:smallCaps w:val="false"/>
          <w:sz w:val="20"/>
        </w:rPr>
        <w:t>102</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6" w:name="PART_II"/>
      <w:bookmarkEnd w:id="26"/>
      <w:r>
        <w:rPr>
          <w:rFonts w:ascii="Times New Roman" w:hAnsi="Times New Roman"/>
          <w:b/>
          <w:i w:val="false"/>
          <w:caps w:val="false"/>
          <w:smallCaps w:val="false"/>
          <w:sz w:val="20"/>
        </w:rPr>
        <w:t>PART II</w:t>
      </w:r>
    </w:p>
    <w:p>
      <w:pPr>
        <w:pStyle w:val="TextBody"/>
        <w:spacing w:before="240" w:after="0"/>
        <w:rPr>
          <w:rFonts w:ascii="Times New Roman" w:hAnsi="Times New Roman"/>
          <w:b/>
          <w:i w:val="false"/>
          <w:caps w:val="false"/>
          <w:smallCaps w:val="false"/>
          <w:sz w:val="20"/>
        </w:rPr>
      </w:pPr>
      <w:bookmarkStart w:id="27" w:name="ITEM_5_MARKET_FOR_REGISTRANTS_COMMON_EQU"/>
      <w:bookmarkEnd w:id="27"/>
      <w:r>
        <w:rPr>
          <w:rFonts w:ascii="Times New Roman" w:hAnsi="Times New Roman"/>
          <w:b/>
          <w:i w:val="false"/>
          <w:caps w:val="false"/>
          <w:smallCaps w:val="false"/>
          <w:sz w:val="20"/>
        </w:rPr>
        <w:t xml:space="preserve">Item 5. Market for Registrant’s Common Equity, Related Stockholder Matters and Issuer Purchases of Equity Securities.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Market Information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common stock began trading on The Nasdaq Global Market on February 5, 2021 under the symbol “TERN.” Prior to such time, there was no public market for our common stock.</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Holders of Record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19, 2021, there were approximately 31 stockholders of record of our common stock. Certain shares are held in “street” name and thus the actual number of beneficial owners of such shares is not known or included in the foregoing number.</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Dividend Policy</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capital stock may be limited by the terms of any future debt or preferred securities we issue or any credit facilities we enter into.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Securities Authorized for Issuance under Equity Compensation Plans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Information about our equity compensation plans is incorporated herein by reference to Item 12 of Part III of this Annual Report on Form 10-K.</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Recent Sales of Unregistered Securities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January 1, 2020 through December 31, 2020, we sold and issued the following unregistered securities:</w:t>
      </w:r>
    </w:p>
    <w:tbl>
      <w:tblPr>
        <w:tblW w:w="10205" w:type="dxa"/>
        <w:jc w:val="left"/>
        <w:tblInd w:w="0" w:type="dxa"/>
        <w:tblCellMar>
          <w:top w:w="0" w:type="dxa"/>
          <w:left w:w="0" w:type="dxa"/>
          <w:bottom w:w="0" w:type="dxa"/>
          <w:right w:w="0" w:type="dxa"/>
        </w:tblCellMar>
      </w:tblPr>
      <w:tblGrid>
        <w:gridCol w:w="60"/>
        <w:gridCol w:w="147"/>
        <w:gridCol w:w="9998"/>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47"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998"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May 2020, we issued and sold $15.0 million in aggregate principal amount of convertible promissory notes, or the 2020 Notes, and $1.8 million in aggregate principal amount of a bridge loan in China, or the China Bridge Loan.</w:t>
            </w:r>
          </w:p>
        </w:tc>
      </w:tr>
    </w:tbl>
    <w:tbl>
      <w:tblPr>
        <w:tblW w:w="10205" w:type="dxa"/>
        <w:jc w:val="left"/>
        <w:tblInd w:w="0" w:type="dxa"/>
        <w:tblCellMar>
          <w:top w:w="0" w:type="dxa"/>
          <w:left w:w="0" w:type="dxa"/>
          <w:bottom w:w="0" w:type="dxa"/>
          <w:right w:w="0" w:type="dxa"/>
        </w:tblCellMar>
      </w:tblPr>
      <w:tblGrid>
        <w:gridCol w:w="60"/>
        <w:gridCol w:w="140"/>
        <w:gridCol w:w="100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40"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05"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December 2020, we issued and sold an aggregate of 7,500,665 shares of Series C convertible preferred stock to 13 accredited investors at $11.65 per share for gross proceeds of approximately $87.4 million (inclusive of the conversion of the 2020 Notes and the effective conversion of the China Bridge Loan, plus accrued interest).</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146"/>
        <w:gridCol w:w="9999"/>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46"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9999"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granted to our directors, employees and consultants options to purchase 2,137,169 shares of our common stock with per share exercise prices ranging from $6.72 to $9.24 under our 2017 Equity Incentive Plan, as amended, or the 2017 Plan.</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44"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01"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issued to certain of our directors, employees and consultants an aggregate of 38,285 shares of our common stock at per share purchase prices ranging from $1.96 to $6.86 pursuant to exercises of options under the 2017 Plan for an aggregate purchase price of $0.1 million.</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offers, sales and issuances of the securities described in paragraphs (1) and (2) were deemed to be exempt from registration under Rule 701 promulgated under the Securities Act as transactions under compensatory benefit plans and contracts relating to compensation, or under Section 4(a)(2) of the Securities Act of 1933, as amended, or the Securities Act, as a transaction by an issuer not involving a public offering. The recipients of such securities were our directors, employees or bona fide consultants and received the securities under our equity incentive plans.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Appropriate legends were affixed to the securities issued in these transactions. Each of the recipients of securities in these transactions had adequate access, through employment, business or other relationships, to information about us.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offers, sales and issuances of the securities described in paragraphs (3) and (4)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 No underwriters were involved in these transactions.</w:t>
      </w:r>
    </w:p>
    <w:p>
      <w:pPr>
        <w:pStyle w:val="TextBody"/>
        <w:spacing w:before="0" w:after="0"/>
        <w:jc w:val="both"/>
        <w:rPr/>
      </w:pPr>
      <w:r>
        <w:rPr/>
        <w:t> </w:t>
      </w:r>
    </w:p>
    <w:p>
      <w:pPr>
        <w:pStyle w:val="TextBody"/>
        <w:spacing w:before="0" w:after="0"/>
        <w:jc w:val="both"/>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Use of Proceeds from Public Offering of Common Stock</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February 2021, we completed our initial public offering, or IPO, and issued an aggregate of 8,625,000 shares of our common stock at a price of $17.00 per share, including the exercise in full of the underwriters’ option to purchase additional shares of our common stock. We received net proceeds from the IPO of approximately $</w:t>
      </w:r>
      <w:r>
        <w:rPr>
          <w:rFonts w:ascii="Times New Roman" w:hAnsi="Times New Roman"/>
          <w:b w:val="false"/>
          <w:i w:val="false"/>
          <w:caps w:val="false"/>
          <w:smallCaps w:val="false"/>
          <w:color w:val="000000"/>
          <w:sz w:val="20"/>
          <w:highlight w:val="white"/>
        </w:rPr>
        <w:t>132.9</w:t>
      </w:r>
      <w:r>
        <w:rPr>
          <w:rFonts w:ascii="Times New Roman" w:hAnsi="Times New Roman"/>
          <w:b w:val="false"/>
          <w:i w:val="false"/>
          <w:caps w:val="false"/>
          <w:smallCaps w:val="false"/>
          <w:sz w:val="20"/>
        </w:rPr>
        <w:t xml:space="preserve"> million, after deducting underwriting discounts and commissions of approximately $10.3 million and offering expenses of approximately $3.5 million. None of the expenses associated with the IPO were paid to directors, officers, persons owning 10% or more of any class of equity securities, or to their associates. J.P. Morgan Securities LLC, Goldman Sachs &amp; Co. LLC and Cowen and Company, LLC acted as book-running managers for the IPO.</w:t>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the completion of our IPO, our common stock is traded on The Nasdaq Global Select Market. The offer and sale of the shares were registered under the Securities Act on a registration statement on Form S-1 (Registration No. 333- 252180), which was declared effective on February 4, 2021.</w:t>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has been no material change in the planned use of proceeds from our IPO as described in the related prospectus filed with the SEC pursuant to Rule 424(b)(4) under the Securities Act. We invested the funds received in cash equivalents and other marketable securities in accordance with our investment policy.</w:t>
      </w:r>
    </w:p>
    <w:p>
      <w:pPr>
        <w:pStyle w:val="TextBody"/>
        <w:spacing w:before="360" w:after="0"/>
        <w:jc w:val="both"/>
        <w:rPr>
          <w:rFonts w:ascii="Times New Roman" w:hAnsi="Times New Roman"/>
          <w:b/>
          <w:i w:val="false"/>
          <w:caps w:val="false"/>
          <w:smallCaps w:val="false"/>
          <w:color w:val="000000"/>
          <w:sz w:val="20"/>
        </w:rPr>
      </w:pPr>
      <w:bookmarkStart w:id="28" w:name="ISSUER_PURCHASES_EQUITY_SECURITIES"/>
      <w:bookmarkEnd w:id="28"/>
      <w:r>
        <w:rPr>
          <w:rFonts w:ascii="Times New Roman" w:hAnsi="Times New Roman"/>
          <w:b/>
          <w:i w:val="false"/>
          <w:caps w:val="false"/>
          <w:smallCaps w:val="false"/>
          <w:color w:val="000000"/>
          <w:sz w:val="20"/>
        </w:rPr>
        <w:t>Issuer Purchases of Equity Securities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w:t>
      </w:r>
    </w:p>
    <w:p>
      <w:pPr>
        <w:pStyle w:val="TextBody"/>
        <w:spacing w:before="360" w:after="0"/>
        <w:rPr>
          <w:rFonts w:ascii="Times New Roman" w:hAnsi="Times New Roman"/>
          <w:b/>
          <w:i w:val="false"/>
          <w:caps w:val="false"/>
          <w:smallCaps w:val="false"/>
          <w:sz w:val="20"/>
        </w:rPr>
      </w:pPr>
      <w:bookmarkStart w:id="29" w:name="ITEM_6_SELECTED_FINANCIAL_DATA"/>
      <w:bookmarkEnd w:id="29"/>
      <w:r>
        <w:rPr>
          <w:rFonts w:ascii="Times New Roman" w:hAnsi="Times New Roman"/>
          <w:b/>
          <w:i w:val="false"/>
          <w:caps w:val="false"/>
          <w:smallCaps w:val="false"/>
          <w:sz w:val="20"/>
        </w:rPr>
        <w:t xml:space="preserve">Item 6. Selected Financial Data.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smaller reporting company as defined by Rule 12b-2 of the Securities Exchange Act of 1934, as amended, and are not required to provide the information required under this item.</w:t>
      </w:r>
    </w:p>
    <w:p>
      <w:pPr>
        <w:pStyle w:val="TextBody"/>
        <w:spacing w:before="240" w:after="0"/>
        <w:jc w:val="center"/>
        <w:rPr>
          <w:rFonts w:ascii="Times New Roman" w:hAnsi="Times New Roman"/>
          <w:b w:val="false"/>
          <w:i w:val="false"/>
          <w:caps w:val="false"/>
          <w:smallCaps w:val="false"/>
          <w:sz w:val="20"/>
        </w:rPr>
      </w:pPr>
      <w:bookmarkStart w:id="30" w:name="_AEIOULastRenderedPageBreakAEIOU17"/>
      <w:bookmarkEnd w:id="30"/>
      <w:r>
        <w:rPr>
          <w:rFonts w:ascii="Times New Roman" w:hAnsi="Times New Roman"/>
          <w:b w:val="false"/>
          <w:i w:val="false"/>
          <w:caps w:val="false"/>
          <w:smallCaps w:val="false"/>
          <w:sz w:val="20"/>
        </w:rPr>
        <w:t>104</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31" w:name="ITEM_7_MANAGEMENTS_DISCUSSION_ANALYSIS_F"/>
      <w:bookmarkEnd w:id="31"/>
      <w:r>
        <w:rPr>
          <w:rFonts w:ascii="Times New Roman" w:hAnsi="Times New Roman"/>
          <w:b/>
          <w:i w:val="false"/>
          <w:caps w:val="false"/>
          <w:smallCaps w:val="false"/>
          <w:sz w:val="20"/>
        </w:rPr>
        <w:t xml:space="preserve">Item 7. Management’s Discussion and Analysis of Financial Condition and Results of Operations. </w:t>
      </w:r>
    </w:p>
    <w:p>
      <w:pPr>
        <w:pStyle w:val="TextBody"/>
        <w:spacing w:before="12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highlight w:val="white"/>
        </w:rPr>
        <w:t xml:space="preserve">The following discussion and analysis of our financial condition and results of operations should be read in conjunction with our consolidated financial statements and related notes included elsewhere in this Annual Report on Form 10-K. </w:t>
      </w:r>
      <w:r>
        <w:rPr>
          <w:rFonts w:ascii="Times New Roman" w:hAnsi="Times New Roman"/>
          <w:b w:val="false"/>
          <w:i/>
          <w:caps w:val="false"/>
          <w:smallCaps w:val="false"/>
          <w:color w:val="000000"/>
          <w:sz w:val="20"/>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“Special Note Regarding Forward-Looking Statements” and “Risk Factors” and elsewhere in this Annual Report on Form 10-K. Our fiscal year ends on December 31 each year.</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Overview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clinical-stage biopharmaceutical company developing a portfolio of small-molecule single-agent and combination therapy candidates for the treatment of non-alcoholic steatohepatitis, or NASH, and other chronic liver diseases. Our programs are based on clinically-validated and complementary mechanisms of action to address the multiple hepatic disease processes of NASH in order to drive meaningful clinical benefits for patients. The mechanisms of action targeted by our current drug candidates are the same mechanisms of action targeted by other drug candidates that have achieved clinical proof-of-concept in NASH clinical trials and have demonstrated significant improvements on histological and non-invasive markers of the disease, though no drug has been approved for the treatment of NASH in the United States or Europe. Our most advanced program is TERN-101, a liver-distributed, non-bile acid Farnesoid X Receptor, or FXR, agonist that has demonstrated sustained liver FXR activation, as well as a favorable tolerability profile across multiple Phase 1 clinical trials. In our Phase 1 clinical trials, no pruritus, or itching, or increases in LDL cholesterol levels as compared to the control group were observed—unlike in Phase 1 clinical trials of other FXR agonists conducted by third parties. Our Phase 2a clinical trial of TERN-101 in NASH patients (the LIFT Study) was fully enrolled in January 2021 and we expect top-line data in July 2021. Our second clinical stage program, TERN-201, is a highly selective inhibitor of Vascular Adhesion Protein-1, or VAP-1. We intend to start our Phase 1b clinical trial of TERN-201 in NASH patients in the first half of 2021 and expect top-line data in the first half of 2022. Our third clinical stage program is TERN-501, a Thyroid Hormone Receptor beta, or THR-β, agonist with high metabolic stability, enhanced liver distribution and greater selectivity for THR-β compared to other THR-β agonists in development. In January 2021, the FDA cleared our investigational new drug application for TERN-501. In March 2021, we announced the initiation of our Phase 1 first-in-human clinical trial of TERN-501 and we expect top-line data in the second half of 2021. We are also pursuing two combination therapy programs to address the multiple disease processes of NASH and expect.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the commencement of our operations, we have devoted substantially all of our resources to research and development activities, organizing and staffing our company, business planning, raising capital, establishing and maintaining our intellectual property portfolio, conducting preclinical studies and clinical trials and providing general and administrative support for these operations.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have any single-agent or combination therapy candidates approved for commercial sale, and we have not generated any revenue from product sales. Our ability to generate product revenue sufficient to achieve profitability, if ever, will depend on the successful development and eventual commercialization of one or more of our single-agent or combination therapy candidates which we expect, if it ever occurs, will take a number of years. We will not generate any revenue from product sales unless and until we successfully complete clinical development and obtain regulatory approval for one or more of our single-agent or combination therapy candidates. If we obtain regulatory approval for any of our single-agent or combination therapy candidates, we expect to incur significant expenses related to developing our internal commercialization capability to support product sales, marketing and distribution.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own or operate, and currently have no plans to establish, any manufacturing facilities. We rely, and expect to continue to rely, on third parties for the manufacture of our single-agent and combination therapy candidates for preclinical and clinical testing, as well as for commercial manufacturing if any of our single-agent and combination therapy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single-agent and combination therapy candidates. The coronavirus disease 2019, or COVID-19, pandemic is rapidly evolving. The COVID-19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pandemic continues to impact countries worldwide, including the United States, or U.S., and China where we have business operations. The extent of the impact of the COVID-19 pandemic on our business, operations and development timelines and plans remains uncertain, and will depend on certain developments, including the duration and spread of the outbreak and its impact on our development activities, planned clinical trial enrollment, future trial sites, contract research organizations, or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 evolving situation related to the COVID-19 pandemic and may take further actions that alter our operations, including those that may be required by federal, state or local authorities in the U.S. and China, or that we determine are in the best interest of our employees and other third parties with whom we do business. At this point, the extent to which the COVID-19 pandemic may affect our business, operations and development timelines and plans, including the resulting impact on our expenditures and capital needs, remains uncertain.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Components of our results of operations</w:t>
      </w:r>
    </w:p>
    <w:p>
      <w:pPr>
        <w:pStyle w:val="TextBody"/>
        <w:shd w:fill="FFFFFF" w:val="clear"/>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Revenue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not generated, and do not expect to generate, any revenue from the sale of products for the foreseeable future.</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Operating expenses</w:t>
      </w:r>
    </w:p>
    <w:p>
      <w:pPr>
        <w:pStyle w:val="TextBody"/>
        <w:shd w:fill="FFFFFF" w:val="clear"/>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Research and development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 account for a significant portion of our operating expenses and consist primarily of external and internal expenses incurred in connection with the discovery and development of our single-agent and combination therapy candidates. To date, our research and development expenses have related primarily to discovery efforts, preclinical and clinical development of our single-agent and combination therapy candidates. Research and development expenses are recognized as incurred and payments made prior to the receipt of goods or services to be used in research and development are capitalized until the goods or services are received.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External expenses include: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expenses incurred in connection with the discovery, preclinical and clinical development of our single-agent and combination therapy candidates, including those incurred under agreements with third parties, such as consultants and CROs;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the cost of manufacturing products for use in our preclinical studies and clinical trials, including payments to contract manufacturing organizations, or CMOs, and consultants;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9145" w:type="dxa"/>
        <w:jc w:val="left"/>
        <w:tblInd w:w="0" w:type="dxa"/>
        <w:tblCellMar>
          <w:top w:w="0" w:type="dxa"/>
          <w:left w:w="0" w:type="dxa"/>
          <w:bottom w:w="0" w:type="dxa"/>
          <w:right w:w="0" w:type="dxa"/>
        </w:tblCellMar>
      </w:tblPr>
      <w:tblGrid>
        <w:gridCol w:w="60"/>
        <w:gridCol w:w="110"/>
        <w:gridCol w:w="897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897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the costs of funding research performed by third-party vendors for performing preclinical testing on our behalf;</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the costs of purchasing lab supplies and non-capital equipment used in designing, developing and manufacturing preclinical study and clinical trial materials;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costs associated with consultants for chemistry, manufacturing and controls development, regulatory, statistics and other services;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7810" w:type="dxa"/>
        <w:jc w:val="left"/>
        <w:tblInd w:w="0" w:type="dxa"/>
        <w:tblCellMar>
          <w:top w:w="0" w:type="dxa"/>
          <w:left w:w="0" w:type="dxa"/>
          <w:bottom w:w="0" w:type="dxa"/>
          <w:right w:w="0" w:type="dxa"/>
        </w:tblCellMar>
      </w:tblPr>
      <w:tblGrid>
        <w:gridCol w:w="60"/>
        <w:gridCol w:w="110"/>
        <w:gridCol w:w="764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7640"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expenses related to regulatory activities, including filing fees paid to regulatory agencies; and</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5785" w:type="dxa"/>
        <w:jc w:val="left"/>
        <w:tblInd w:w="0" w:type="dxa"/>
        <w:tblCellMar>
          <w:top w:w="0" w:type="dxa"/>
          <w:left w:w="0" w:type="dxa"/>
          <w:bottom w:w="0" w:type="dxa"/>
          <w:right w:w="0" w:type="dxa"/>
        </w:tblCellMar>
      </w:tblPr>
      <w:tblGrid>
        <w:gridCol w:w="60"/>
        <w:gridCol w:w="110"/>
        <w:gridCol w:w="561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561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facility costs including rent, depreciation and maintenance expenses.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24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Internal expenses include employee and personnel-related costs and expenses, including salaries, benefits and stock-based compensation expense for employees and personnel engaged in research and development functions.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typically use our employee, consultant and infrastructure resources across our development programs. We track outsourced development costs by drug candidate or preclinical program, but we do not allocate personnel costs, other internal costs or external consultant costs to specific drug candidates or preclinical programs.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direct research and development expenses are tracked on a program-by-program basis for our drug and combination therapy candidates and consist primarily of external costs, such as fees paid to outside consultants, CROs and CMOs in connection with our preclinical development, manufacturing and clinical development activities. Our direct research and development expenses by program also include fees incurred under our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our research and development expenses to increase substantially in absolute dollars for the foreseeable future as we advance our single-agent and combination therapy candidates or any other future single-agent or combination therapy candidates we may develop into and through preclinical studies and clinical trials and pursue regulatory approval of our single-agent and combination therapy candidates. The process of conducting the necessary clinical research to obtain regulatory approval is costly and time-consuming. The actual probability of success for our single-agent and combination therapy candidates or any other future single-agent or combination therapy candidate that we may develop may be affected by a variety of factors including: the safety and efficacy of our single-agent and combination therapy candidates, early clinical data, investment in our clinical program, the ability of collaborators to successfully develop our licensed single-agent and combination therapy candidates, competition, manufacturing capability and commercial viability. We may never succeed in achieving regulatory approval for our single-agent and combination therapy candidates. As a result of the uncertainties discussed above, we are unable to determine the duration and completion costs of our research and development projects or when and to what extent we will generate revenue from the commercialization and sale of our single-agent and combination therapy candidates or any other future single-agent and combination therapy candidates we may develop. The duration, costs and timing of preclinical studies and clinical trials and </w:t>
      </w:r>
      <w:r>
        <w:rPr>
          <w:rFonts w:ascii="Times New Roman" w:hAnsi="Times New Roman"/>
          <w:b w:val="false"/>
          <w:i w:val="false"/>
          <w:caps w:val="false"/>
          <w:smallCaps w:val="false"/>
          <w:color w:val="000000"/>
          <w:sz w:val="20"/>
        </w:rPr>
        <w:t>development of our single-agent and combination therapy candidates will depend on a variety of factors</w:t>
      </w:r>
      <w:r>
        <w:rPr>
          <w:rFonts w:ascii="Times New Roman" w:hAnsi="Times New Roman"/>
          <w:b w:val="false"/>
          <w:i w:val="false"/>
          <w:caps w:val="false"/>
          <w:smallCaps w:val="false"/>
          <w:sz w:val="20"/>
        </w:rPr>
        <w:t>.</w:t>
      </w:r>
    </w:p>
    <w:p>
      <w:pPr>
        <w:pStyle w:val="TextBody"/>
        <w:shd w:fill="FFFFFF" w:val="clear"/>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General and administrative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primarily of personnel-related expenses, including salaries, benefits and stock-based compensation expense, for personnel in executive, finance, accounting, business development, legal, human resource and other administrative functions. General and administrative expenses also include corporate facility costs not otherwise included in research and development expenses,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tax services.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our general and administrative expenses will increase substantially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accounting, legal and regulatory matters,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p>
      <w:pPr>
        <w:pStyle w:val="HorizontalLine"/>
        <w:rPr/>
      </w:pPr>
      <w:r>
        <w:rPr/>
      </w:r>
    </w:p>
    <w:p>
      <w:pPr>
        <w:pStyle w:val="TextBody"/>
        <w:spacing w:before="0" w:after="0"/>
        <w:rPr/>
      </w:pPr>
      <w:r>
        <w:rPr/>
        <w:t> </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Other income (expense)</w:t>
      </w:r>
    </w:p>
    <w:p>
      <w:pPr>
        <w:pStyle w:val="TextBody"/>
        <w:shd w:fill="FFFFFF" w:val="clear"/>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Interest income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Interest income primarily consists of interest income on our marketable securities and short-term investments.</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Change in fair value of loans payable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 in fair value of loans payable primarily consists of the difference in fair value for our convertible loans payable between May 2020 and December 2020. As our U.S. convertible promissory notes and Chinese convertible bridge loan were converted in December 2020, remeasurement from the loans payable will no longer be required and we will no longer record such expenses (or income).</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Foreign exchange gain (loss)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Foreign exchange gain (loss) primarily consists of foreign exchange gain or loss and government grants received by our majority-owned subsidiary Terns China Biotechnology Co., Ltd. (organized in Shanghai, People’s Republic of China, or PRC), or Terns China. Our assets and liabilities from our subsidiaries Terns Biotechnology Co., Ltd. Suzhou PRC, or Terns Suzhou, and our majority-owned subsidiary Terns China are translated from their functional currency of the Chinese Yuan, or CNY, to the U.S. dollar reporting currency at the balance sheet date exchange rates, while income and expense items are translated at the average exchange rates prevailing during the fiscal year. Translation adjustments arising from these are reported as foreign currency translation adjustments and are shown as accumulated other comprehensive income (loss) on the consolidated balance sheets.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Income Taxes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Valuation allowances are provided when necessary to reduce net deferred tax assets to an amount that is more likely than not to be realized.</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determining whether a valuation allowance for deferred tax assets is necessary, we analyze both positive and negative evidence related to the realization of deferred tax assets and inherent in that, assess the likelihood of sufficient future taxable income. We also consider the expected reversal of deferred tax liabilities and analyze the period in which these would be expected to reverse to determine whether the taxable temporary difference amounts serve as an adequate source of future taxable income to support the realizability of the deferred tax assets. In addition, we consider whether it is more likely than not that the tax position will be sustained upon examination by taxing authorities based on the technical merits of the position.</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income taxes in the U.S. and foreign countries, and we are subject to routine corporate income tax audits in these jurisdictions. We believe that our tax return positions are fully supported, but tax authorities are likely to challenge certain positions, which may not be fully sustained. Our income tax expense includes amounts intended to satisfy income tax assessments that result from these challenges in accordance with the accounting for uncertainty in income taxes prescribed by U.S. generally accepted accounting principles, or U.S. GAAP. Determining the income tax expense for these potential assessments and recording the related assets and liabilities requires management judgments and estimates.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108</w:t>
      </w:r>
    </w:p>
    <w:p>
      <w:pPr>
        <w:pStyle w:val="HorizontalLine"/>
        <w:rPr/>
      </w:pPr>
      <w:r>
        <w:rPr/>
      </w:r>
    </w:p>
    <w:p>
      <w:pPr>
        <w:pStyle w:val="TextBody"/>
        <w:spacing w:before="0" w:after="0"/>
        <w:rPr/>
      </w:pPr>
      <w:r>
        <w:rPr/>
        <w:t> </w:t>
      </w:r>
    </w:p>
    <w:p>
      <w:pPr>
        <w:pStyle w:val="TextBody"/>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Results of operations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our results of operations for the years ended December 31, 2020 and 2019: </w:t>
      </w:r>
    </w:p>
    <w:p>
      <w:pPr>
        <w:pStyle w:val="TextBody"/>
        <w:spacing w:before="0" w:after="0"/>
        <w:rPr/>
      </w:pPr>
      <w:r>
        <w:rPr/>
        <w:t> </w:t>
      </w:r>
    </w:p>
    <w:tbl>
      <w:tblPr>
        <w:tblW w:w="6080" w:type="dxa"/>
        <w:jc w:val="center"/>
        <w:tblInd w:w="0" w:type="dxa"/>
        <w:tblCellMar>
          <w:top w:w="0" w:type="dxa"/>
          <w:left w:w="0" w:type="dxa"/>
          <w:bottom w:w="28" w:type="dxa"/>
          <w:right w:w="0" w:type="dxa"/>
        </w:tblCellMar>
      </w:tblPr>
      <w:tblGrid>
        <w:gridCol w:w="3335"/>
        <w:gridCol w:w="60"/>
        <w:gridCol w:w="125"/>
        <w:gridCol w:w="650"/>
        <w:gridCol w:w="80"/>
        <w:gridCol w:w="60"/>
        <w:gridCol w:w="125"/>
        <w:gridCol w:w="650"/>
        <w:gridCol w:w="80"/>
        <w:gridCol w:w="60"/>
        <w:gridCol w:w="125"/>
        <w:gridCol w:w="650"/>
        <w:gridCol w:w="80"/>
      </w:tblGrid>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FFFFFF" w:val="clear"/>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Results of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61,534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(33,505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8,996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8,663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37,025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70,197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(33,172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(37,025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(70,197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33,172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loans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(expense) income,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 (expense) benefit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(39,758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(68,839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(expense) benefit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(40,571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(68,819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28,248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Revenue </w:t>
      </w:r>
    </w:p>
    <w:p>
      <w:pPr>
        <w:pStyle w:val="TextBody"/>
        <w:spacing w:lineRule="auto" w:line="288"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date, we have not generated, and do not expect to generate, any revenue from the sale of products for the foreseeable future. </w:t>
      </w:r>
    </w:p>
    <w:p>
      <w:pPr>
        <w:pStyle w:val="TextBody"/>
        <w:spacing w:before="0" w:after="0"/>
        <w:jc w:val="both"/>
        <w:rPr/>
      </w:pPr>
      <w:r>
        <w:rPr/>
        <w:t> </w:t>
      </w:r>
    </w:p>
    <w:p>
      <w:pPr>
        <w:pStyle w:val="TextBody"/>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Research and development expenses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research and development expenses are related primarily to discovery efforts, preclinical and clinical development of our single-agent and combination therapy candidates.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expenses for the twelve months ended December 31, 2020 were $28.0 million, compared to $61.5 million for the </w:t>
      </w:r>
      <w:r>
        <w:rPr>
          <w:rFonts w:ascii="Times New Roman" w:hAnsi="Times New Roman"/>
          <w:b w:val="false"/>
          <w:i w:val="false"/>
          <w:caps w:val="false"/>
          <w:smallCaps w:val="false"/>
          <w:color w:val="000000"/>
          <w:sz w:val="20"/>
          <w:highlight w:val="white"/>
        </w:rPr>
        <w:t>same period in 2019</w:t>
      </w:r>
      <w:r>
        <w:rPr>
          <w:rFonts w:ascii="Times New Roman" w:hAnsi="Times New Roman"/>
          <w:b w:val="false"/>
          <w:i w:val="false"/>
          <w:caps w:val="false"/>
          <w:smallCaps w:val="false"/>
          <w:sz w:val="20"/>
        </w:rPr>
        <w:t xml:space="preserve">. The decrease in expenses of $33.5 million was primarily due to a $35.0 million one-time upfront payment made in connection with the Genfit collaboration agreement that occurred in 2019. Excluding such payment, research and development expenses increased by $1.5 million primarily due to a $0.8 million increase in employee-related expenses as higher headcount increased </w:t>
      </w:r>
      <w:r>
        <w:rPr>
          <w:rFonts w:ascii="Times New Roman" w:hAnsi="Times New Roman"/>
          <w:b w:val="false"/>
          <w:i w:val="false"/>
          <w:caps w:val="false"/>
          <w:smallCaps w:val="false"/>
          <w:color w:val="000000"/>
          <w:sz w:val="20"/>
          <w:highlight w:val="white"/>
        </w:rPr>
        <w:t>salaries, benefits, and stock-based compensation-related charges.</w:t>
      </w:r>
      <w:r>
        <w:rPr>
          <w:rFonts w:ascii="Times New Roman" w:hAnsi="Times New Roman"/>
          <w:b w:val="false"/>
          <w:i w:val="false"/>
          <w:caps w:val="false"/>
          <w:smallCaps w:val="false"/>
          <w:sz w:val="20"/>
        </w:rPr>
        <w:t xml:space="preserve"> In addition, there was a $0.7 million increase</w:t>
      </w:r>
      <w:r>
        <w:rPr>
          <w:rFonts w:ascii="Times New Roman" w:hAnsi="Times New Roman"/>
          <w:b w:val="false"/>
          <w:i w:val="false"/>
          <w:caps w:val="false"/>
          <w:smallCaps w:val="false"/>
          <w:color w:val="000000"/>
          <w:sz w:val="20"/>
          <w:highlight w:val="white"/>
        </w:rPr>
        <w:t xml:space="preserve"> due to higher </w:t>
      </w:r>
      <w:r>
        <w:rPr>
          <w:rFonts w:ascii="Times New Roman" w:hAnsi="Times New Roman"/>
          <w:b w:val="false"/>
          <w:i w:val="false"/>
          <w:caps w:val="false"/>
          <w:smallCaps w:val="false"/>
          <w:color w:val="000000"/>
          <w:sz w:val="20"/>
        </w:rPr>
        <w:t>facility-related and depreciation expenses</w:t>
      </w:r>
      <w:r>
        <w:rPr>
          <w:rFonts w:ascii="Times New Roman" w:hAnsi="Times New Roman"/>
          <w:b w:val="false"/>
          <w:i w:val="false"/>
          <w:caps w:val="false"/>
          <w:smallCaps w:val="false"/>
          <w:color w:val="000000"/>
          <w:sz w:val="20"/>
          <w:highlight w:val="white"/>
        </w:rPr>
        <w:t xml:space="preserve"> allocated to </w:t>
      </w:r>
      <w:r>
        <w:rPr>
          <w:rFonts w:ascii="Times New Roman" w:hAnsi="Times New Roman"/>
          <w:b w:val="false"/>
          <w:i w:val="false"/>
          <w:caps w:val="false"/>
          <w:smallCaps w:val="false"/>
          <w:sz w:val="20"/>
        </w:rPr>
        <w:t>research and development expenses.</w:t>
      </w:r>
    </w:p>
    <w:p>
      <w:pPr>
        <w:pStyle w:val="TextBody"/>
        <w:spacing w:before="0" w:after="0"/>
        <w:jc w:val="both"/>
        <w:rPr/>
      </w:pPr>
      <w:r>
        <w:rPr/>
        <w:t> </w:t>
      </w:r>
    </w:p>
    <w:p>
      <w:pPr>
        <w:pStyle w:val="TextBody"/>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General and administrative expenses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primarily of personnel-related expenses, including salaries, benefits and stock-based compensation expense, for personnel in executive, finance, accounting, business development, legal, human resource and other administrative functions.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for the twelve months ended December 31, 2020 were $9.0 million, compared to $8.7 million for the same period in 2019. The increase of $0.3 million was primarily due to a $0.9 million increase in employee-related expenses as higher headcount increased </w:t>
      </w:r>
      <w:r>
        <w:rPr>
          <w:rFonts w:ascii="Times New Roman" w:hAnsi="Times New Roman"/>
          <w:b w:val="false"/>
          <w:i w:val="false"/>
          <w:caps w:val="false"/>
          <w:smallCaps w:val="false"/>
          <w:color w:val="000000"/>
          <w:sz w:val="20"/>
          <w:highlight w:val="white"/>
        </w:rPr>
        <w:t xml:space="preserve">salaries, benefits, and stock-based compensation-related charges. </w:t>
      </w:r>
      <w:r>
        <w:rPr>
          <w:rFonts w:ascii="Times New Roman" w:hAnsi="Times New Roman"/>
          <w:b w:val="false"/>
          <w:i w:val="false"/>
          <w:caps w:val="false"/>
          <w:smallCaps w:val="false"/>
          <w:sz w:val="20"/>
        </w:rPr>
        <w:t>In addition, there was a $0.1 million increase in IT-related and other professional services consulting.</w:t>
      </w:r>
      <w:r>
        <w:rPr>
          <w:rFonts w:ascii="Times New Roman" w:hAnsi="Times New Roman"/>
          <w:b w:val="false"/>
          <w:i w:val="false"/>
          <w:caps w:val="false"/>
          <w:smallCaps w:val="false"/>
          <w:color w:val="000000"/>
          <w:sz w:val="20"/>
          <w:highlight w:val="white"/>
        </w:rPr>
        <w:t xml:space="preserve"> These increases were partially offset by a $0.7 million decrease due to higher </w:t>
      </w:r>
      <w:r>
        <w:rPr>
          <w:rFonts w:ascii="Times New Roman" w:hAnsi="Times New Roman"/>
          <w:b w:val="false"/>
          <w:i w:val="false"/>
          <w:caps w:val="false"/>
          <w:smallCaps w:val="false"/>
          <w:color w:val="000000"/>
          <w:sz w:val="20"/>
        </w:rPr>
        <w:t>facility-related and depreciation expenses allocated</w:t>
      </w:r>
      <w:r>
        <w:rPr>
          <w:rFonts w:ascii="Times New Roman" w:hAnsi="Times New Roman"/>
          <w:b w:val="false"/>
          <w:i w:val="false"/>
          <w:caps w:val="false"/>
          <w:smallCaps w:val="false"/>
          <w:color w:val="000000"/>
          <w:sz w:val="20"/>
          <w:highlight w:val="white"/>
        </w:rPr>
        <w:t xml:space="preserve"> to </w:t>
      </w:r>
      <w:r>
        <w:rPr>
          <w:rFonts w:ascii="Times New Roman" w:hAnsi="Times New Roman"/>
          <w:b w:val="false"/>
          <w:i w:val="false"/>
          <w:caps w:val="false"/>
          <w:smallCaps w:val="false"/>
          <w:sz w:val="20"/>
        </w:rPr>
        <w:t>research and development expenses.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109</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Interest income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Interest income primarily consists of interest income on our marketable securities and short-term investments.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Interest income for the twelve months ended December 31, 2020 was $0.1 million, compared to $1.2 million for the same period in 2019. The decrease of $1.1 million was primarily due to the maturity of marketable securities during 2020.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Change in fair value of loans payable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change in fair value of loans payable for the twelve months ended December 31, 2020 was a charge of $2.9 million. The change in the fair value of loans payable was due to the difference in fair value for our convertible loans payable between May 2020, when they were issued, and December 2020. Our U.S. convertible promissory notes and Chinese convertible bridge loan were converted in December 2020.</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Other income, net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income, net for the twelve months ended December 31, 2020 was $0.1 million compared to less than $0.2 million for the same period in 2019.</w:t>
      </w:r>
    </w:p>
    <w:p>
      <w:pPr>
        <w:pStyle w:val="TextBody"/>
        <w:spacing w:before="360" w:after="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Income tax (expense) benefit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Income tax expense for the twelve months ended December 31, 2020 was $0.8 million, compared to an income tax benefit of less than $0.1 million for the same period in 2019. The $0.7 million increase was primarily due to the recording of a full valuation allowance against our U.S. net deferred tax assets as we believe these deferred tax assets were not realizable on a more likely than not basis as of December 31, 2020.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Liquidity and capital resources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Uses of cash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accrued expenses.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Sources of liquidity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principally funded our operations primarily through proceeds from the sale of shares of our common stock, convertible preferred stock and sale of our convertible promissory notes. We have devoted substantially all of our resources to research and development activities, organizing and staffing our company, raising capital, establishing and maintaining our intellectual property portfolio, conducting preclinical studies and clinical trials and providing general and administrative support for these operations.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our inception, we have not generated any revenue from product sales and we have incurred significant operating losses and negative cash flows from our operations. </w:t>
      </w:r>
      <w:r>
        <w:rPr>
          <w:rFonts w:ascii="Times New Roman" w:hAnsi="Times New Roman"/>
          <w:b w:val="false"/>
          <w:i w:val="false"/>
          <w:caps w:val="false"/>
          <w:smallCaps w:val="false"/>
          <w:color w:val="000000"/>
          <w:sz w:val="20"/>
        </w:rPr>
        <w:t>As of December 31, 2020, we had an accumulated deficit of approximately $132.0 million, a net loss of approximately $40.6 million, negative cash flows from operations of approximately $29.6 million, and cash and cash equivalents of $74.9 million.</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May 2020, we received proceeds of $16.8 million from the issuance of convertible promissory notes (2020 Notes) and a bridge loan (Bridge Loan).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110</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2020, we issued and sold shares of our convertible preferred stock for gross proceeds of approximately $87.4 million (including conversion of the $15.0 million of 2020 Notes and effective conversion of the $1.8 million Bridge Loan, plus accrued interest). </w:t>
      </w:r>
    </w:p>
    <w:p>
      <w:pPr>
        <w:pStyle w:val="TextBody"/>
        <w:spacing w:before="24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February 2021, we completed our initial public offering of 8,625,000 shares of our common stock, including the exercise in full by the underwriters of their option to purchase additional shares of common stock. The net proceeds from this offering were $132.9 million after deducting underwriting discounts and commissions and offering expenses.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the net proceeds from these transactions, together with our existing cash and cash equivalents, will be sufficient to fund our operating expenses and capital expenditure requirements into 2024. We will need substantial additional funding to support our operating activities.</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Future funding requirements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to incur significant expenses and operating losses for the foreseeable future as we advance the preclinical and clinical development of our single-agent and combination therapy candidates. We expect that our research and development and general and administrative costs will increase in connection with conducting additional preclinical studies and clinical trials for our current and future research programs and single-agent and combination therapy candidates, contracting with CMOs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primary uses of cash are to fund our research and development activities, business planning, establishing and maintaining our intellectual property portfolio, hiring personnel, raising capital and providing general and administrative support for these operations.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our expenses to increase in connection with our ongoing activities, particularly as we continue the research and development of, continue or initiate clinical trials of, and seek marketing approval for, our single-agent and combination therapy candidates. In addition, if we obtain marketing approval for our single-agent and combination therapy candidates, we expect to incur significant commercialization expenses related to any approved products,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future capital requirements will depend on many factors, including: </w:t>
      </w:r>
    </w:p>
    <w:tbl>
      <w:tblPr>
        <w:tblW w:w="7990" w:type="dxa"/>
        <w:jc w:val="left"/>
        <w:tblInd w:w="0" w:type="dxa"/>
        <w:tblCellMar>
          <w:top w:w="0" w:type="dxa"/>
          <w:left w:w="0" w:type="dxa"/>
          <w:bottom w:w="0" w:type="dxa"/>
          <w:right w:w="0" w:type="dxa"/>
        </w:tblCellMar>
      </w:tblPr>
      <w:tblGrid>
        <w:gridCol w:w="60"/>
        <w:gridCol w:w="110"/>
        <w:gridCol w:w="78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8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scope, progress, results and costs of product discovery, preclinical studies and clinical trials; </w:t>
            </w:r>
          </w:p>
        </w:tc>
      </w:tr>
    </w:tbl>
    <w:tbl>
      <w:tblPr>
        <w:tblW w:w="6715" w:type="dxa"/>
        <w:jc w:val="left"/>
        <w:tblInd w:w="0" w:type="dxa"/>
        <w:tblCellMar>
          <w:top w:w="0" w:type="dxa"/>
          <w:left w:w="0" w:type="dxa"/>
          <w:bottom w:w="0" w:type="dxa"/>
          <w:right w:w="0" w:type="dxa"/>
        </w:tblCellMar>
      </w:tblPr>
      <w:tblGrid>
        <w:gridCol w:w="60"/>
        <w:gridCol w:w="110"/>
        <w:gridCol w:w="65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5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scope, prioritization and number of our research and development programs; </w:t>
            </w:r>
          </w:p>
        </w:tc>
      </w:tr>
    </w:tbl>
    <w:tbl>
      <w:tblPr>
        <w:tblW w:w="8980" w:type="dxa"/>
        <w:jc w:val="left"/>
        <w:tblInd w:w="0" w:type="dxa"/>
        <w:tblCellMar>
          <w:top w:w="0" w:type="dxa"/>
          <w:left w:w="0" w:type="dxa"/>
          <w:bottom w:w="0" w:type="dxa"/>
          <w:right w:w="0" w:type="dxa"/>
        </w:tblCellMar>
      </w:tblPr>
      <w:tblGrid>
        <w:gridCol w:w="60"/>
        <w:gridCol w:w="110"/>
        <w:gridCol w:w="88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8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costs, timing and outcome of regulatory review of our single-agent and combination therapy candidates; </w:t>
            </w:r>
          </w:p>
        </w:tc>
      </w:tr>
    </w:tbl>
    <w:tbl>
      <w:tblPr>
        <w:tblW w:w="6655" w:type="dxa"/>
        <w:jc w:val="left"/>
        <w:tblInd w:w="0" w:type="dxa"/>
        <w:tblCellMar>
          <w:top w:w="0" w:type="dxa"/>
          <w:left w:w="0" w:type="dxa"/>
          <w:bottom w:w="0" w:type="dxa"/>
          <w:right w:w="0" w:type="dxa"/>
        </w:tblCellMar>
      </w:tblPr>
      <w:tblGrid>
        <w:gridCol w:w="60"/>
        <w:gridCol w:w="110"/>
        <w:gridCol w:w="64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4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establish and maintain collaborations on favorable terms, if at all;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achievement of milestones or occurrence of other developments that trigger payments under any collaboration agreements we enter into;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extent to which we are obligated to reimburse, or entitled to reimbursement of, clinical trial costs under collaboration agreements, if any;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costs of preparing, filing and prosecuting patent applications, maintaining and enforcing our intellectual property rights and defending intellectual property-related claims; </w:t>
            </w:r>
          </w:p>
        </w:tc>
      </w:tr>
    </w:tbl>
    <w:tbl>
      <w:tblPr>
        <w:tblW w:w="9775" w:type="dxa"/>
        <w:jc w:val="left"/>
        <w:tblInd w:w="0" w:type="dxa"/>
        <w:tblCellMar>
          <w:top w:w="0" w:type="dxa"/>
          <w:left w:w="0" w:type="dxa"/>
          <w:bottom w:w="0" w:type="dxa"/>
          <w:right w:w="0" w:type="dxa"/>
        </w:tblCellMar>
      </w:tblPr>
      <w:tblGrid>
        <w:gridCol w:w="60"/>
        <w:gridCol w:w="110"/>
        <w:gridCol w:w="96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60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extent to which we acquire or in-license other single-agent and combination therapy candidates and technologies;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w:t>
      </w:r>
    </w:p>
    <w:p>
      <w:pPr>
        <w:pStyle w:val="HorizontalLine"/>
        <w:rPr/>
      </w:pPr>
      <w:r>
        <w:rPr/>
      </w:r>
    </w:p>
    <w:p>
      <w:pPr>
        <w:pStyle w:val="TextBody"/>
        <w:spacing w:before="0" w:after="0"/>
        <w:rPr/>
      </w:pPr>
      <w:r>
        <w:rPr/>
        <w:t> </w:t>
      </w:r>
    </w:p>
    <w:tbl>
      <w:tblPr>
        <w:tblW w:w="6850" w:type="dxa"/>
        <w:jc w:val="left"/>
        <w:tblInd w:w="0" w:type="dxa"/>
        <w:tblCellMar>
          <w:top w:w="0" w:type="dxa"/>
          <w:left w:w="0" w:type="dxa"/>
          <w:bottom w:w="0" w:type="dxa"/>
          <w:right w:w="0" w:type="dxa"/>
        </w:tblCellMar>
      </w:tblPr>
      <w:tblGrid>
        <w:gridCol w:w="60"/>
        <w:gridCol w:w="110"/>
        <w:gridCol w:w="668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68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costs of securing manufacturing arrangements for commercial production;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costs of establishing or contracting for sales and marketing capabilities if we obtain regulatory approvals to market our single-agent and combination therapy candidates.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Identifying potential single-agent and combination therapy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single-agent and combination therapy candidates, if approved, may not achieve commercial success. Our commercial revenues, if any, will be derived from sales of single-agent and combination therapy candidates that we do not expect to be commercially available for many years, if at all. Accordingly, we will need to continue to rely on additional financing to achieve our business objectives. Adequate additional financing may not be available to us on acceptable terms, or at all.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Until such time, if ever, as we can generate substantial revenues from product sales,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or could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raise funds through collaborations, strategic alliances or licensing arrangements with third parties, we may have to relinquish valuable rights to our future revenue streams, research programs or single-agent and combination therapy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single-agent and combination therapy candidates that we would otherwise prefer to develop and market ourselves.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Cash flows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Operating activities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used in operating activities during the year ended December 31, 2020 was $29.8 million and consisted primarily of our net loss of $40.6 million. This was partially offset by non-cash adjustments from a $2.9 million loss from the change in fair value of loans payable, $1.7 million of stock-based compensation expense, a $0.7 million change in deferred taxes and uncertain tax positions, and $0.4 million of depreciation expense, as well as a $5.1 million</w:t>
      </w:r>
      <w:r>
        <w:rPr>
          <w:rFonts w:ascii="Times New Roman" w:hAnsi="Times New Roman"/>
          <w:b w:val="false"/>
          <w:i w:val="false"/>
          <w:caps w:val="false"/>
          <w:smallCaps w:val="false"/>
          <w:color w:val="000000"/>
          <w:sz w:val="20"/>
          <w:highlight w:val="white"/>
        </w:rPr>
        <w:t xml:space="preserve"> increase from changes in operating assets and liabilities </w:t>
      </w:r>
      <w:r>
        <w:rPr>
          <w:rFonts w:ascii="Times New Roman" w:hAnsi="Times New Roman"/>
          <w:b w:val="false"/>
          <w:i w:val="false"/>
          <w:caps w:val="false"/>
          <w:smallCaps w:val="false"/>
          <w:sz w:val="20"/>
        </w:rPr>
        <w:t>primarily attributable to program related services incurred and payable as of December 31, 2020</w:t>
      </w:r>
      <w:r>
        <w:rPr>
          <w:rFonts w:ascii="Times New Roman" w:hAnsi="Times New Roman"/>
          <w:b w:val="false"/>
          <w:i w:val="false"/>
          <w:caps w:val="false"/>
          <w:smallCaps w:val="false"/>
          <w:color w:val="000000"/>
          <w:sz w:val="20"/>
          <w:highlight w:val="white"/>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operating activities during the year ended December 31, 2019 was $66.2 million and consisted primarily of our net loss of $68.8 million. This was partially offset by non-cash adjustments from $0.7 million of stock-based compensation and $0.2 million of depreciation expense, as well as a </w:t>
      </w:r>
      <w:r>
        <w:rPr>
          <w:rFonts w:ascii="Times New Roman" w:hAnsi="Times New Roman"/>
          <w:b w:val="false"/>
          <w:i w:val="false"/>
          <w:caps w:val="false"/>
          <w:smallCaps w:val="false"/>
          <w:color w:val="000000"/>
          <w:sz w:val="20"/>
          <w:highlight w:val="white"/>
        </w:rPr>
        <w:t>$1.8 million increase from changes in operating assets and liabilities</w:t>
      </w:r>
      <w:r>
        <w:rPr>
          <w:rFonts w:ascii="Times New Roman" w:hAnsi="Times New Roman"/>
          <w:b w:val="false"/>
          <w:i w:val="false"/>
          <w:caps w:val="false"/>
          <w:smallCaps w:val="false"/>
          <w:sz w:val="20"/>
        </w:rPr>
        <w:t xml:space="preserve"> primarily attributable to program-related services incurred and payable as of December 31, 2019</w:t>
      </w:r>
      <w:r>
        <w:rPr>
          <w:rFonts w:ascii="Times New Roman" w:hAnsi="Times New Roman"/>
          <w:b w:val="false"/>
          <w:i w:val="false"/>
          <w:caps w:val="false"/>
          <w:smallCaps w:val="false"/>
          <w:color w:val="000000"/>
          <w:sz w:val="20"/>
          <w:highlight w:val="white"/>
        </w:rPr>
        <w:t>.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Investing activities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provided by investing activities during the year ended December 31, 2020 was $6.7 million and consisted primarily of $5.6 million in proceeds from the sale and maturity of marketable securities and $2.4 million of proceeds from the sale and maturity of short-term investments, offset by a $0.7 million purchase of short-term investments and a $0.6 million purchase of property and equipment.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investing activities during the year ended December 31, 2019 was $3.9 million and consisted primarily of $45.1 million in purchases of marketable securities, $13.3 million in purchases of short-term investments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112</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and $0.9 million in purchases of property and equipment, offset by $39.5 million in proceeds from the sale and maturity of marketable securities and $15.9 million in proceeds from the sale and maturity of short-term investments.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Financing activities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financing activities during the year ended December 31, 2020 was $85.5 million and consisted primarily of $69.4 million in proceeds from the issuance of Series C convertible preferred stock and $16.9 million in proceeds from the issuance of loans payable, partially offset by $0.8 million payments of deferred offering costs related to our IPO completed in February 2021.</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provided by financing activities during the year ended December 31, 2019 was nominal.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Off-balance sheet arrangements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significant estimates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management’s discussion and analysis of our financial condition and results of operations is based on our consolidated financial statements, which have been prepared in accordance with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While our significant accounting policies are described in more detail in Note 2, Summary of Significant Accounting Policies, to our audited consolidated financial statements included elsewhere in this Annual Report on Form 10-K, we believe that the following accounting policies are those most critical to the judgments and estimates used in the preparation of our audited consolidated financial statements.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Fair value of common stock prior to our IPO</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Historically, for all periods in 2020, which is prior to the completion of our IPO in February 2021, the fair value of our common stock was estimated on each grant date by our board of directors. In order to determine the fair value, our board of directors considered, among other things, contemporaneous valuations of our common stock and preferred stock prepared by unrelated third-party valuation firms in accordance with the guidance provided by the American Institute of Certified Public Accountants 2013 Practice Aid, Valuation of Privately-Held-Company Equity Securities Issued as Compensation, or the Practice Aid.</w:t>
      </w:r>
    </w:p>
    <w:p>
      <w:pPr>
        <w:pStyle w:val="TextBody"/>
        <w:shd w:fill="FFFFFF" w:val="clear"/>
        <w:spacing w:before="0" w:after="0"/>
        <w:jc w:val="both"/>
        <w:rPr/>
      </w:pPr>
      <w:r>
        <w:rPr/>
        <w:t> </w:t>
      </w:r>
    </w:p>
    <w:p>
      <w:pPr>
        <w:pStyle w:val="TextBody"/>
        <w:shd w:fill="FFFFFF" w:val="clear"/>
        <w:spacing w:before="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Given the absence of a public trading market of our shares of capital stock in 2020, our board of directors exercised reasonable judgment and considered a number of objective and subjective factors to determine the best estimate of the fair value of our shares of common stock and preferred stock, including:</w:t>
      </w:r>
    </w:p>
    <w:p>
      <w:pPr>
        <w:pStyle w:val="TextBody"/>
        <w:shd w:fill="FFFFFF" w:val="clear"/>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the prices at which we sold shares of convertible preferred stock and the superior rights and preferences of the convertible preferred stock relative to its common stock;</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the progress of our research and development programs, including the status and results of preclinical studies for its single-agent and combination therapy candidates;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7255" w:type="dxa"/>
        <w:jc w:val="left"/>
        <w:tblInd w:w="0" w:type="dxa"/>
        <w:tblCellMar>
          <w:top w:w="0" w:type="dxa"/>
          <w:left w:w="0" w:type="dxa"/>
          <w:bottom w:w="0" w:type="dxa"/>
          <w:right w:w="0" w:type="dxa"/>
        </w:tblCellMar>
      </w:tblPr>
      <w:tblGrid>
        <w:gridCol w:w="60"/>
        <w:gridCol w:w="110"/>
        <w:gridCol w:w="708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708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our stage of development and commercialization and our business strategy;</w:t>
            </w:r>
          </w:p>
        </w:tc>
      </w:tr>
    </w:tbl>
    <w:p>
      <w:pPr>
        <w:pStyle w:val="TextBody"/>
        <w:shd w:fill="FFFFFF" w:val="clear"/>
        <w:spacing w:before="0" w:after="0"/>
        <w:jc w:val="both"/>
        <w:rPr>
          <w:caps w:val="false"/>
          <w:smallCaps w:val="false"/>
          <w:color w:val="000000"/>
        </w:rPr>
      </w:pPr>
      <w:r>
        <w:rPr>
          <w:caps w:val="false"/>
          <w:smallCaps w:val="false"/>
          <w:color w:val="000000"/>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113</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external market conditions affecting the biotechnology industry and trends within the biotechnology industry;</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our financial position, including cash on hand, and its historical and forecasted performance and operating results;</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8620" w:type="dxa"/>
        <w:jc w:val="left"/>
        <w:tblInd w:w="0" w:type="dxa"/>
        <w:tblCellMar>
          <w:top w:w="0" w:type="dxa"/>
          <w:left w:w="0" w:type="dxa"/>
          <w:bottom w:w="0" w:type="dxa"/>
          <w:right w:w="0" w:type="dxa"/>
        </w:tblCellMar>
      </w:tblPr>
      <w:tblGrid>
        <w:gridCol w:w="60"/>
        <w:gridCol w:w="110"/>
        <w:gridCol w:w="845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8450"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the lack of an active public market for our common stock and convertible preferred stock;</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the likelihood of achieving a liquidity event, such as an IPO, or sale of our company in light of prevailing market conditions; and</w:t>
            </w:r>
          </w:p>
        </w:tc>
      </w:tr>
    </w:tbl>
    <w:p>
      <w:pPr>
        <w:pStyle w:val="TextBody"/>
        <w:shd w:fill="FFFFFF" w:val="clear"/>
        <w:spacing w:before="0" w:after="0"/>
        <w:jc w:val="both"/>
        <w:rPr>
          <w:caps w:val="false"/>
          <w:smallCaps w:val="false"/>
          <w:color w:val="000000"/>
        </w:rPr>
      </w:pPr>
      <w:r>
        <w:rPr>
          <w:caps w:val="false"/>
          <w:smallCaps w:val="false"/>
          <w:color w:val="000000"/>
        </w:rPr>
        <w:t> </w:t>
      </w:r>
    </w:p>
    <w:tbl>
      <w:tblPr>
        <w:tblW w:w="9670" w:type="dxa"/>
        <w:jc w:val="left"/>
        <w:tblInd w:w="0" w:type="dxa"/>
        <w:tblCellMar>
          <w:top w:w="0" w:type="dxa"/>
          <w:left w:w="0" w:type="dxa"/>
          <w:bottom w:w="0" w:type="dxa"/>
          <w:right w:w="0" w:type="dxa"/>
        </w:tblCellMar>
      </w:tblPr>
      <w:tblGrid>
        <w:gridCol w:w="60"/>
        <w:gridCol w:w="110"/>
        <w:gridCol w:w="950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9500"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the analysis of IPOs and the market performance of similar companies in the biotechnology industry.</w:t>
            </w:r>
          </w:p>
        </w:tc>
      </w:tr>
    </w:tbl>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Significant changes to the key assumptions underlying the factors used could have resulted in different fair values of common stock at each valuation date.</w:t>
      </w:r>
    </w:p>
    <w:p>
      <w:pPr>
        <w:pStyle w:val="TextBody"/>
        <w:shd w:fill="FFFFFF" w:val="clear"/>
        <w:spacing w:before="24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Since becoming a public company in February 2021, we have used our stock price to determine fair value of our common stock.</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Common stock valuation methodology prior to our IPO</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obtained contemporaneous third-party valuations of our common stock as of the dates on which our board of directors granted equity awards. In August 2017, June 2018, June 2019 and September 2020, we used third party valuations of our common stock prepared using the income approach, which focuses on the income-producing capability of a business. The income approach estimates value based on the expectation of future cash flows that a company will generate such as cash earnings, cost savings, tax deductions, and the proceeds from disposition. These cash flows are discounted to the present using a rate of return that incorporates the risk-free rate for the use of funds, the expected rate of inflation, and risks associated with the particular investment. The selected discount rate is generally based on rates of return available from alternative investments of similar type, quality, and risk. Once the value of our company was estimated it was allocated to our common shares using the Option Pricing Method, or OPM. This approach allows for the allocation of a company’s equity value among the various equity capital owners (preferred and common stockholders). The OPM uses the preferred stockholders’ liquidation preferences, participation rights, dividend policy, and conversion rights to determine how proceeds from a liquidity event shall be distributed among the various ownership classes at a future date.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probability weighted expected return method (PWERM) involves the estimation of future potential outcomes for our company, as well as values and probabilities associated with each respective potential outcome. The common stock per share value determined using this approach is ultimately based upon probability-weighted per share values resulting from the various future scenarios, which can include an IPO, merger or sale, dissolution or continued operation as a private company.</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These contemporaneous third-party valuations using the OPM method resulted in valuations of our common stock of $1.96 as of August 2017, $2.38 as of March 2018, $6.16 as of October 2018, $6.72 as of June 2019 and $6.86 as of June 2020. In October 2020, in connection with the preparation of our financial statements, we conducted a retrospective valuation of our common stock as of June 2019 and June 2020 and determined that the grant date fair value was $9.24 per share and $12.04 per share, respectively, solely for accounting purposes. In addition, in October 2020, in connection with the preparation of our financial statements, a third-party retrospective valuation of our common stock using the PWERM as of September 2020 resulted in a valuation of $23.38 per share. In November 2020, a third-party retrospective valuation of our common stock using the PWERM resulted in a valuation of $9.24 per share.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assumptions underlying these valuations represented our board of directors’ best estimates at the time they were made, which involve inherent uncertainties and the application of the judgment of our board of directors. As a result, if factors or expected outcomes change and we use significantly different assumptions or estimates, our stock-based compensation expense could be materially different.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114</w:t>
      </w:r>
    </w:p>
    <w:p>
      <w:pPr>
        <w:pStyle w:val="HorizontalLine"/>
        <w:rPr/>
      </w:pPr>
      <w:r>
        <w:rPr/>
      </w:r>
    </w:p>
    <w:p>
      <w:pPr>
        <w:pStyle w:val="TextBody"/>
        <w:spacing w:before="0" w:after="0"/>
        <w:rPr/>
      </w:pPr>
      <w:r>
        <w:rPr/>
        <w:t> </w:t>
      </w:r>
    </w:p>
    <w:p>
      <w:pPr>
        <w:pStyle w:val="TextBody"/>
        <w:shd w:fill="FFFFFF" w:val="clear"/>
        <w:spacing w:before="24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Since becoming a public company in February 2021, we have used our stock price to determine fair value of our common stock.</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Loans Payable</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elected to record certain loans payable at fair value on the date of issuance, with gains and losses arising from changes in fair value recognized in the statements of operations at each period end while such loans payable are outstanding. Issuance costs are recognized in the statement of operations in the period in which they are incurred. The fair value of the loans payable was determined using a probability weighted expected return model, a scenario-based valuation model in which discrete future outcome scenarios for our company are projected and discounted to present value.</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Accrued research and development expenses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part of the process of preparing our consolidated financial statements, we are required to estimate our accrued research and development expenses. This process involves reviewing purchase orders and open contracts, communicating with our personnel to identify services that have been performed on our behalf and estimating the level of service performed and the associated cost incurred for the services when we have not yet been invoiced or otherwise notified of the actual cost. The majority of our service providers invoice us monthly in arrears for services performed or when contractual milestones are met; however, some require advance payments.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CMOs among others, in connection with research and development activities for which we have not yet been invoiced.</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contract with CROs and CMOs to conduct clinical and manufacturing and other research and development services on our behalf. We base our expenses related to CROs and CMOs on our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our CROs or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there have been no material differences between our estimates of such expenses and the amounts actually incurred.</w:t>
      </w:r>
    </w:p>
    <w:p>
      <w:pPr>
        <w:pStyle w:val="TextBody"/>
        <w:shd w:fill="FFFFFF" w:val="clear"/>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Emerging growth company status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Jumpstart Our Business Startups Act of 2012, or the JOBS Act, permits an “emerging growth company” to take advantage of an extended transition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provided in the JOBS Act. As a result, we will not be subject to the same new or revised accounting standards as other public companies that are not emerging growth companies and our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 The JOBS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w:t>
      </w:r>
    </w:p>
    <w:p>
      <w:pPr>
        <w:pStyle w:val="HorizontalLine"/>
        <w:rPr/>
      </w:pPr>
      <w:r>
        <w:rPr/>
      </w:r>
    </w:p>
    <w:p>
      <w:pPr>
        <w:pStyle w:val="TextBody"/>
        <w:spacing w:before="0" w:after="0"/>
        <w:rPr/>
      </w:pPr>
      <w:r>
        <w:rPr/>
        <w:t> </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Act also exempts us from having to provide an auditor attestation of internal control over financial reporting under Sarbanes-Oxley Act Section 404(b).</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will cease to be an “emerging growth company” on the date that is the earliest of (i) the last day of the fiscal year in which we have total annual gross revenues of $1.07 billion or more, (ii) the last day of the fiscal year in which the fifth anniversary of the completion of the IPO occurs, (iii) the date on which we have issued more than $1.0 billion in nonconvertible debt during the previous three years or (iv) the last day of the fiscal year in which we are deemed to be a large accelerated filer under the rules of the SEC, which generally is when we have more than $700.0 million in market value of our stock held by non-affiliates as of the last day of the second fiscal quarter and we have been a public company for at least 12 months and have filed one annual report.</w:t>
      </w:r>
    </w:p>
    <w:p>
      <w:pPr>
        <w:pStyle w:val="TextBody"/>
        <w:shd w:fill="FFFFFF" w:val="clear"/>
        <w:spacing w:before="0" w:after="0"/>
        <w:rPr/>
      </w:pPr>
      <w:r>
        <w:rPr/>
        <w:t> </w:t>
      </w:r>
    </w:p>
    <w:p>
      <w:pPr>
        <w:pStyle w:val="TextBody"/>
        <w:shd w:fill="FFFFFF" w:val="clear"/>
        <w:spacing w:before="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Further, even after we no longer qualify as an emerging growth company, we may still qualify as a “smaller reporting company” which would allow us to take advantage of many of the same exceptions from disclosure requirements, including reduced disclosure obligations regarding executive compensation in our periodic reports and proxy statements. We cannot predict if investors will find our shares of common stock less attractive because we may rely on these exemptions. If some investors find our shares of common stock less attractive as a result, there may be a less active trading market for shares of our common stock and our share price may be more volatile.</w:t>
      </w:r>
    </w:p>
    <w:p>
      <w:pPr>
        <w:pStyle w:val="TextBody"/>
        <w:shd w:fill="FFFFFF" w:val="clear"/>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Recently issued accounting pronouncements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See Note 2, Summary of Significant Accounting Policies to our audited consolidated financial statements included elsewhere in this Annual Report on Form 10-K for a description of recent accounting pronouncements applicable to our consolidated financial statements.</w:t>
      </w:r>
    </w:p>
    <w:p>
      <w:pPr>
        <w:pStyle w:val="TextBody"/>
        <w:shd w:fill="FFFFFF" w:val="clear"/>
        <w:spacing w:before="0" w:after="0"/>
        <w:jc w:val="both"/>
        <w:rPr/>
      </w:pPr>
      <w:r>
        <w:rPr/>
        <w:t> </w:t>
      </w:r>
    </w:p>
    <w:p>
      <w:pPr>
        <w:pStyle w:val="TextBody"/>
        <w:spacing w:before="160" w:after="0"/>
        <w:rPr>
          <w:rFonts w:ascii="Times New Roman" w:hAnsi="Times New Roman"/>
          <w:b/>
          <w:i w:val="false"/>
          <w:caps w:val="false"/>
          <w:smallCaps w:val="false"/>
          <w:sz w:val="20"/>
        </w:rPr>
      </w:pPr>
      <w:bookmarkStart w:id="32" w:name="ITEM_7A_QUANTITATIVE_QUALITATIVE_DISCLOS"/>
      <w:bookmarkEnd w:id="32"/>
      <w:r>
        <w:rPr>
          <w:rFonts w:ascii="Times New Roman" w:hAnsi="Times New Roman"/>
          <w:b/>
          <w:i w:val="false"/>
          <w:caps w:val="false"/>
          <w:smallCaps w:val="false"/>
          <w:sz w:val="20"/>
        </w:rPr>
        <w:t xml:space="preserve">Item 7A. Quantitative and Qualitative Disclosures About Market Risk.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Substantially all of our operations are within the United States and the People’s Republic of China, or PRC, and we are exposed to market risks in the ordinary course of our business, including the effects of foreign currency fluctuations, interest rate changes and inflation. Information relating to quantitative and qualitative disclosures about these market risks is set forth below.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Interest rate risk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Cash, cash equivalents, marketable securities and short-term investments are held primarily in bank and time deposits. The fair value of our cash and short-term investments would not be significantly affected by either an increase or decrease in interest rates due mainly to the short-term nature of these instruments.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Foreign currency exchange risk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Foreign currency risk arises from future commercial transactions and recognized assets and liabilities. A substantial majority of our expense-related transactions are denominated in Chinese Yuan, or CNY, which is the functional currency of Terns Suzhou and Terns China. Our commercial transactions outside the PRC are primarily denominated in U.S. dollars. We do not hedge against currency risk. In the past years, CNY continued to appreciate against the U.S. dollar. To the extent that we need to convert U.S. dollars into CNY for our operations, appreciation of CNY against the U.S. dollar would reduce the CNY amount we receive from the conversion. Conversely, if we decide to convert CNY into U.S. dollars, appreciation of the U.S. dollar against the CNY would reduce the U.S. dollar amounts available to us.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Effects of inflation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Inflation generally affects us by increasing our cost of labor and clinical trial costs. We do not believe that inflation has had a material effect on our results of operations during the periods presented.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116</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33" w:name="ITEM_8_FINANCIAL_STATEMENTS_SUPPLE_1"/>
      <w:bookmarkEnd w:id="33"/>
      <w:r>
        <w:rPr>
          <w:rFonts w:ascii="Times New Roman" w:hAnsi="Times New Roman"/>
          <w:b/>
          <w:i w:val="false"/>
          <w:caps w:val="false"/>
          <w:smallCaps w:val="false"/>
          <w:sz w:val="20"/>
        </w:rPr>
        <w:t xml:space="preserve">Item 8. Financial Statements and Supplementary Data.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financial statements of Terns Pharmaceuticals, Inc. listed below are set forth in Item 8 of this Annual Report for the year ended December 31, 2020:</w:t>
      </w:r>
    </w:p>
    <w:p>
      <w:pPr>
        <w:pStyle w:val="TextBody"/>
        <w:spacing w:before="240" w:after="0"/>
        <w:jc w:val="center"/>
        <w:rPr>
          <w:rFonts w:ascii="Times New Roman" w:hAnsi="Times New Roman"/>
          <w:b w:val="false"/>
          <w:i w:val="false"/>
          <w:caps w:val="false"/>
          <w:smallCaps w:val="false"/>
          <w:sz w:val="20"/>
        </w:rPr>
      </w:pPr>
      <w:bookmarkStart w:id="34" w:name="_AEIOULastRenderedPageBreakAEIOU18"/>
      <w:bookmarkEnd w:id="34"/>
      <w:r>
        <w:rPr>
          <w:rFonts w:ascii="Times New Roman" w:hAnsi="Times New Roman"/>
          <w:b w:val="false"/>
          <w:i w:val="false"/>
          <w:caps w:val="false"/>
          <w:smallCaps w:val="false"/>
          <w:sz w:val="20"/>
        </w:rPr>
        <w:t>117</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INDEX TO CONSOLIDATED FINANCIAL STATEMENTS</w:t>
      </w:r>
    </w:p>
    <w:p>
      <w:pPr>
        <w:pStyle w:val="TextBody"/>
        <w:spacing w:before="0" w:after="0"/>
        <w:rPr/>
      </w:pPr>
      <w:r>
        <w:rPr/>
        <w:t> </w:t>
      </w:r>
    </w:p>
    <w:tbl>
      <w:tblPr>
        <w:tblW w:w="9040" w:type="dxa"/>
        <w:jc w:val="center"/>
        <w:tblInd w:w="0" w:type="dxa"/>
        <w:tblCellMar>
          <w:top w:w="0" w:type="dxa"/>
          <w:left w:w="0" w:type="dxa"/>
          <w:bottom w:w="0" w:type="dxa"/>
          <w:right w:w="0" w:type="dxa"/>
        </w:tblCellMar>
      </w:tblPr>
      <w:tblGrid>
        <w:gridCol w:w="8705"/>
        <w:gridCol w:w="335"/>
      </w:tblGrid>
      <w:tr>
        <w:trPr/>
        <w:tc>
          <w:tcPr>
            <w:tcW w:w="8705" w:type="dxa"/>
            <w:tcBorders/>
            <w:shd w:fill="FFFFFF" w:val="clear"/>
            <w:vAlign w:val="center"/>
          </w:tcPr>
          <w:p>
            <w:pPr>
              <w:pStyle w:val="TableContents"/>
              <w:spacing w:before="0" w:after="0"/>
              <w:ind w:left="0" w:right="0" w:hanging="0"/>
              <w:rPr/>
            </w:pPr>
            <w:hyperlink w:anchor="REPORT_INDEPENDENT_REGISTERED_PUBLIC_ACC">
              <w:r>
                <w:rPr>
                  <w:rStyle w:val="InternetLink"/>
                  <w:rFonts w:ascii="Times New Roman" w:hAnsi="Times New Roman"/>
                  <w:b w:val="false"/>
                  <w:i w:val="false"/>
                  <w:caps w:val="false"/>
                  <w:smallCaps w:val="false"/>
                  <w:sz w:val="20"/>
                  <w:u w:val="single"/>
                </w:rPr>
                <w:t>Report of Independent Registered Public Accounting Firm</w:t>
              </w:r>
            </w:hyperlink>
          </w:p>
        </w:tc>
        <w:tc>
          <w:tcPr>
            <w:tcW w:w="33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w:t>
            </w:r>
          </w:p>
        </w:tc>
      </w:tr>
      <w:tr>
        <w:trPr/>
        <w:tc>
          <w:tcPr>
            <w:tcW w:w="870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8705" w:type="dxa"/>
            <w:tcBorders/>
            <w:shd w:fill="FFFFFF" w:val="clear"/>
            <w:vAlign w:val="center"/>
          </w:tcPr>
          <w:p>
            <w:pPr>
              <w:pStyle w:val="TableContents"/>
              <w:spacing w:before="0" w:after="0"/>
              <w:ind w:left="0" w:right="0" w:hanging="0"/>
              <w:rPr/>
            </w:pPr>
            <w:hyperlink w:anchor="CONDENSED_CONSOLIDATED_BALANCE_SHEETS">
              <w:r>
                <w:rPr>
                  <w:rStyle w:val="InternetLink"/>
                  <w:rFonts w:ascii="Times New Roman" w:hAnsi="Times New Roman"/>
                  <w:b w:val="false"/>
                  <w:i w:val="false"/>
                  <w:caps w:val="false"/>
                  <w:smallCaps w:val="false"/>
                  <w:sz w:val="20"/>
                  <w:u w:val="single"/>
                </w:rPr>
                <w:t>Consolidated Balance Sheets</w:t>
              </w:r>
            </w:hyperlink>
          </w:p>
        </w:tc>
        <w:tc>
          <w:tcPr>
            <w:tcW w:w="33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r>
      <w:tr>
        <w:trPr/>
        <w:tc>
          <w:tcPr>
            <w:tcW w:w="870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8705" w:type="dxa"/>
            <w:tcBorders/>
            <w:shd w:fill="FFFFFF" w:val="clear"/>
            <w:vAlign w:val="center"/>
          </w:tcPr>
          <w:p>
            <w:pPr>
              <w:pStyle w:val="TableContents"/>
              <w:spacing w:before="0" w:after="0"/>
              <w:ind w:left="0" w:right="0" w:hanging="0"/>
              <w:rPr/>
            </w:pPr>
            <w:hyperlink w:anchor="CONDENSED_CONSOLIDATED_STATEMENTS_OPERAT">
              <w:r>
                <w:rPr>
                  <w:rStyle w:val="InternetLink"/>
                  <w:rFonts w:ascii="Times New Roman" w:hAnsi="Times New Roman"/>
                  <w:b w:val="false"/>
                  <w:i w:val="false"/>
                  <w:caps w:val="false"/>
                  <w:smallCaps w:val="false"/>
                  <w:sz w:val="20"/>
                  <w:u w:val="single"/>
                </w:rPr>
                <w:t>Consolidated Statements of Operations and Comprehensive Loss</w:t>
              </w:r>
            </w:hyperlink>
          </w:p>
        </w:tc>
        <w:tc>
          <w:tcPr>
            <w:tcW w:w="33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w:t>
            </w:r>
          </w:p>
        </w:tc>
      </w:tr>
      <w:tr>
        <w:trPr/>
        <w:tc>
          <w:tcPr>
            <w:tcW w:w="870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8705" w:type="dxa"/>
            <w:tcBorders/>
            <w:shd w:fill="FFFFFF" w:val="clear"/>
            <w:vAlign w:val="center"/>
          </w:tcPr>
          <w:p>
            <w:pPr>
              <w:pStyle w:val="TableContents"/>
              <w:spacing w:before="0" w:after="0"/>
              <w:ind w:left="0" w:right="0" w:hanging="0"/>
              <w:rPr/>
            </w:pPr>
            <w:hyperlink w:anchor="CONDENSED_CONSOLIDATED_STATEMENTS_NONCON">
              <w:r>
                <w:rPr>
                  <w:rStyle w:val="InternetLink"/>
                  <w:rFonts w:ascii="Times New Roman" w:hAnsi="Times New Roman"/>
                  <w:b w:val="false"/>
                  <w:i w:val="false"/>
                  <w:caps w:val="false"/>
                  <w:smallCaps w:val="false"/>
                  <w:sz w:val="20"/>
                  <w:u w:val="single"/>
                </w:rPr>
                <w:t>Consolidated Statements of Noncontrolling Interest, Convertible Preferred Stock and Stockholders’ Deficit</w:t>
              </w:r>
            </w:hyperlink>
            <w:r>
              <w:rPr>
                <w:rFonts w:ascii="Times New Roman" w:hAnsi="Times New Roman"/>
                <w:b w:val="false"/>
                <w:i w:val="false"/>
                <w:caps w:val="false"/>
                <w:smallCaps w:val="false"/>
                <w:sz w:val="20"/>
              </w:rPr>
              <w:t xml:space="preserve"> </w:t>
            </w:r>
          </w:p>
        </w:tc>
        <w:tc>
          <w:tcPr>
            <w:tcW w:w="33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w:t>
            </w:r>
          </w:p>
        </w:tc>
      </w:tr>
      <w:tr>
        <w:trPr/>
        <w:tc>
          <w:tcPr>
            <w:tcW w:w="870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8705" w:type="dxa"/>
            <w:tcBorders/>
            <w:shd w:fill="FFFFFF" w:val="clear"/>
            <w:vAlign w:val="center"/>
          </w:tcPr>
          <w:p>
            <w:pPr>
              <w:pStyle w:val="TableContents"/>
              <w:spacing w:before="0" w:after="0"/>
              <w:ind w:left="0" w:right="0" w:hanging="0"/>
              <w:rPr/>
            </w:pPr>
            <w:hyperlink w:anchor="CONDENSED_CONSOLIDATED_STATEMENTS_CASH_F">
              <w:r>
                <w:rPr>
                  <w:rStyle w:val="InternetLink"/>
                  <w:rFonts w:ascii="Times New Roman" w:hAnsi="Times New Roman"/>
                  <w:b w:val="false"/>
                  <w:i w:val="false"/>
                  <w:caps w:val="false"/>
                  <w:smallCaps w:val="false"/>
                  <w:sz w:val="20"/>
                  <w:u w:val="single"/>
                </w:rPr>
                <w:t>Consolidated Statements of Cash Flows</w:t>
              </w:r>
            </w:hyperlink>
            <w:r>
              <w:rPr>
                <w:rFonts w:ascii="Times New Roman" w:hAnsi="Times New Roman"/>
                <w:b w:val="false"/>
                <w:i w:val="false"/>
                <w:caps w:val="false"/>
                <w:smallCaps w:val="false"/>
                <w:sz w:val="20"/>
              </w:rPr>
              <w:t xml:space="preserve"> </w:t>
            </w:r>
          </w:p>
        </w:tc>
        <w:tc>
          <w:tcPr>
            <w:tcW w:w="33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w:t>
            </w:r>
          </w:p>
        </w:tc>
      </w:tr>
      <w:tr>
        <w:trPr/>
        <w:tc>
          <w:tcPr>
            <w:tcW w:w="870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8705" w:type="dxa"/>
            <w:tcBorders/>
            <w:shd w:fill="FFFFFF" w:val="clear"/>
            <w:vAlign w:val="center"/>
          </w:tcPr>
          <w:p>
            <w:pPr>
              <w:pStyle w:val="TableContents"/>
              <w:spacing w:before="0" w:after="0"/>
              <w:ind w:left="0" w:right="0" w:hanging="0"/>
              <w:rPr/>
            </w:pPr>
            <w:hyperlink w:anchor="NOTES_TO_UNAUDITED_CONDENSED_CONSOLIDATE">
              <w:r>
                <w:rPr>
                  <w:rStyle w:val="InternetLink"/>
                  <w:rFonts w:ascii="Times New Roman" w:hAnsi="Times New Roman"/>
                  <w:b w:val="false"/>
                  <w:i w:val="false"/>
                  <w:caps w:val="false"/>
                  <w:smallCaps w:val="false"/>
                  <w:sz w:val="20"/>
                  <w:u w:val="single"/>
                </w:rPr>
                <w:t>Notes to Consolidated Financial Statements</w:t>
              </w:r>
            </w:hyperlink>
          </w:p>
        </w:tc>
        <w:tc>
          <w:tcPr>
            <w:tcW w:w="33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r>
    </w:tbl>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118</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35" w:name="ITEM_8_FINANCIAL_STATEMENTS_SUPPLEMENTAR"/>
      <w:bookmarkStart w:id="36" w:name="REPORT_INDEPENDENT_REGISTERED_PUBLIC_ACC"/>
      <w:bookmarkEnd w:id="35"/>
      <w:bookmarkEnd w:id="36"/>
      <w:r>
        <w:rPr>
          <w:rFonts w:ascii="Times New Roman" w:hAnsi="Times New Roman"/>
          <w:b/>
          <w:i w:val="false"/>
          <w:caps w:val="false"/>
          <w:smallCaps w:val="false"/>
          <w:sz w:val="20"/>
        </w:rPr>
        <w:t>Report of Indepen</w:t>
      </w:r>
      <w:bookmarkStart w:id="37" w:name="REPORT_INDEPENDENT_REGISTERED_PUBLIC_ACC"/>
      <w:bookmarkEnd w:id="37"/>
      <w:r>
        <w:rPr>
          <w:rFonts w:ascii="Times New Roman" w:hAnsi="Times New Roman"/>
          <w:b/>
          <w:i w:val="false"/>
          <w:caps w:val="false"/>
          <w:smallCaps w:val="false"/>
          <w:sz w:val="20"/>
        </w:rPr>
        <w:t xml:space="preserve">dent Registered Public Accounting Firm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the Stockholders and the Board of Directors of Terns Pharmaceuticals, Inc.</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Opinion on the Financial Statements</w:t>
      </w:r>
    </w:p>
    <w:p>
      <w:pPr>
        <w:pStyle w:val="TextBody"/>
        <w:spacing w:before="0" w:after="0"/>
        <w:jc w:val="both"/>
        <w:rPr/>
      </w:pPr>
      <w:r>
        <w:rPr/>
        <w:t> </w:t>
      </w:r>
    </w:p>
    <w:p>
      <w:pPr>
        <w:pStyle w:val="TextBody"/>
        <w:spacing w:before="0" w:after="2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audited the accompanying consolidated balance sheets of Terns Pharmaceuticals, Inc. (the Company) as of December 31, 2020 and 2019, the related consolidated statements of operations and comprehensive loss, noncontrolling interest, convertible preferred </w:t>
      </w:r>
      <w:r>
        <w:rPr>
          <w:rFonts w:ascii="Times New Roman" w:hAnsi="Times New Roman"/>
          <w:b w:val="false"/>
          <w:i w:val="false"/>
          <w:caps w:val="false"/>
          <w:smallCaps w:val="false"/>
          <w:color w:val="000000"/>
          <w:sz w:val="20"/>
        </w:rPr>
        <w:t xml:space="preserve">stock and stockholders’ deficit and cash flows </w:t>
      </w:r>
      <w:r>
        <w:rPr>
          <w:rFonts w:ascii="Times New Roman" w:hAnsi="Times New Roman"/>
          <w:b w:val="false"/>
          <w:i w:val="false"/>
          <w:caps w:val="false"/>
          <w:smallCaps w:val="false"/>
          <w:sz w:val="20"/>
        </w:rPr>
        <w:t xml:space="preserve">for each of the two years </w:t>
      </w:r>
      <w:r>
        <w:rPr>
          <w:rFonts w:ascii="Times New Roman" w:hAnsi="Times New Roman"/>
          <w:b w:val="false"/>
          <w:i w:val="false"/>
          <w:caps w:val="false"/>
          <w:smallCaps w:val="false"/>
          <w:color w:val="333333"/>
          <w:sz w:val="20"/>
        </w:rPr>
        <w:t xml:space="preserve">in the period ended December 31, 2020, </w:t>
      </w:r>
      <w:r>
        <w:rPr>
          <w:rFonts w:ascii="Times New Roman" w:hAnsi="Times New Roman"/>
          <w:b w:val="false"/>
          <w:i w:val="false"/>
          <w:caps w:val="false"/>
          <w:smallCaps w:val="false"/>
          <w:sz w:val="20"/>
        </w:rPr>
        <w:t xml:space="preserve">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w:t>
      </w:r>
      <w:r>
        <w:rPr>
          <w:rFonts w:ascii="Times New Roman" w:hAnsi="Times New Roman"/>
          <w:b w:val="false"/>
          <w:i w:val="false"/>
          <w:caps w:val="false"/>
          <w:smallCaps w:val="false"/>
          <w:color w:val="333333"/>
          <w:sz w:val="20"/>
        </w:rPr>
        <w:t>for each of the two years in the period ended December 31, 2020</w:t>
      </w:r>
      <w:r>
        <w:rPr>
          <w:rFonts w:ascii="Times New Roman" w:hAnsi="Times New Roman"/>
          <w:b w:val="false"/>
          <w:i w:val="false"/>
          <w:caps w:val="false"/>
          <w:smallCaps w:val="false"/>
          <w:sz w:val="20"/>
        </w:rPr>
        <w:t>, in conformity with U.S. generally accepted accounting principles.</w:t>
      </w:r>
    </w:p>
    <w:p>
      <w:pPr>
        <w:pStyle w:val="TextBody"/>
        <w:spacing w:before="0" w:after="260"/>
        <w:jc w:val="both"/>
        <w:rPr>
          <w:rFonts w:ascii="Times New Roman" w:hAnsi="Times New Roman"/>
          <w:b/>
          <w:i w:val="false"/>
          <w:caps w:val="false"/>
          <w:smallCaps w:val="false"/>
          <w:sz w:val="20"/>
        </w:rPr>
      </w:pPr>
      <w:r>
        <w:rPr>
          <w:rFonts w:ascii="Times New Roman" w:hAnsi="Times New Roman"/>
          <w:b/>
          <w:i w:val="false"/>
          <w:caps w:val="false"/>
          <w:smallCaps w:val="false"/>
          <w:sz w:val="20"/>
        </w:rPr>
        <w:t>Basis for Opinion</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pPr>
      <w:r>
        <w:rPr/>
        <w:t> </w:t>
      </w:r>
    </w:p>
    <w:p>
      <w:pPr>
        <w:pStyle w:val="TextBody"/>
        <w:spacing w:before="0" w:after="0"/>
        <w:ind w:left="72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jc w:val="both"/>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Ernst &amp; Young LLP</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served as the Company’s auditor since 2020.</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San Jose, California</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119</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0" w:after="0"/>
        <w:jc w:val="center"/>
        <w:rPr>
          <w:rFonts w:ascii="Times New Roman" w:hAnsi="Times New Roman"/>
          <w:b w:val="false"/>
          <w:i w:val="false"/>
          <w:caps w:val="false"/>
          <w:smallCaps w:val="false"/>
          <w:sz w:val="20"/>
        </w:rPr>
      </w:pPr>
      <w:bookmarkStart w:id="38" w:name="CONDENSED_CONSOLIDATED_BALANCE_SHEETS"/>
      <w:bookmarkEnd w:id="38"/>
      <w:r>
        <w:rPr>
          <w:rFonts w:ascii="Times New Roman" w:hAnsi="Times New Roman"/>
          <w:b w:val="false"/>
          <w:i w:val="false"/>
          <w:caps w:val="false"/>
          <w:smallCaps w:val="false"/>
          <w:sz w:val="20"/>
        </w:rPr>
        <w:t xml:space="preserve">CONSOLIDATED BALANCE SHEETS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(Amounts in thousands, except share and per share data) </w:t>
      </w:r>
    </w:p>
    <w:p>
      <w:pPr>
        <w:pStyle w:val="TextBody"/>
        <w:spacing w:before="0" w:after="0"/>
        <w:rPr/>
      </w:pPr>
      <w:r>
        <w:rPr/>
        <w:t> </w:t>
      </w:r>
    </w:p>
    <w:tbl>
      <w:tblPr>
        <w:tblW w:w="8030" w:type="dxa"/>
        <w:jc w:val="center"/>
        <w:tblInd w:w="0" w:type="dxa"/>
        <w:tblCellMar>
          <w:top w:w="0" w:type="dxa"/>
          <w:left w:w="0" w:type="dxa"/>
          <w:bottom w:w="28" w:type="dxa"/>
          <w:right w:w="0" w:type="dxa"/>
        </w:tblCellMar>
      </w:tblPr>
      <w:tblGrid>
        <w:gridCol w:w="6095"/>
        <w:gridCol w:w="60"/>
        <w:gridCol w:w="125"/>
        <w:gridCol w:w="755"/>
        <w:gridCol w:w="80"/>
        <w:gridCol w:w="60"/>
        <w:gridCol w:w="125"/>
        <w:gridCol w:w="650"/>
        <w:gridCol w:w="80"/>
      </w:tblGrid>
      <w:tr>
        <w:trPr/>
        <w:tc>
          <w:tcPr>
            <w:tcW w:w="609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9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12,327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Notes receivable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12,718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offering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90,869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22,224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bottom w:val="doub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92,290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23,904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Liabilities, Convertible Preferred Stock and Stockholders’ Deficit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 and other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Loans payable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12,880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rent, net of current portion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Taxes payable, noncurrent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23,698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5,580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Noncontrolling interest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Convertible preferred stock, $0.0001 par value; 188,029,084 and</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76,409,088 shares authorized as of December 31, 2020 and 2019,</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respectively; 12,958,452 and 4,473,480 shares issued and outstanding</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as of December 31, 2020 and 2019, respectively; aggregate</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liquidation value of $197,468 and $95,371 as of December 31, 2020 and</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2019, respectively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186,033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94,967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deficit: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$0.0001 par value, 299,700,000 and 100,000,000 shares</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authorized at December 31, 2020 and 2019, respectively;</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337,508 and 215,890 shares issued and outstanding at</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December 31, 2020 and 2019, respectively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14,598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09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(131,915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(91,862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09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(117,441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(90,760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095" w:type="dxa"/>
            <w:tcBorders>
              <w:bottom w:val="doub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noncontrolling interest, convertible</w:t>
            </w:r>
          </w:p>
          <w:p>
            <w:pPr>
              <w:pStyle w:val="TableContents"/>
              <w:spacing w:before="0" w:after="0"/>
              <w:ind w:left="547"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preferred stock and stockholders’ deficit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92,290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23,904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financial statements.</w:t>
      </w:r>
    </w:p>
    <w:p>
      <w:pPr>
        <w:pStyle w:val="TextBody"/>
        <w:spacing w:before="240" w:after="0"/>
        <w:jc w:val="center"/>
        <w:rPr>
          <w:rFonts w:ascii="Times New Roman" w:hAnsi="Times New Roman"/>
          <w:b w:val="false"/>
          <w:i w:val="false"/>
          <w:caps w:val="false"/>
          <w:smallCaps w:val="false"/>
          <w:sz w:val="20"/>
        </w:rPr>
      </w:pPr>
      <w:bookmarkStart w:id="39" w:name="_AEIOULastRenderedPageBreakAEIOU20"/>
      <w:bookmarkEnd w:id="39"/>
      <w:r>
        <w:rPr>
          <w:rFonts w:ascii="Times New Roman" w:hAnsi="Times New Roman"/>
          <w:b w:val="false"/>
          <w:i w:val="false"/>
          <w:caps w:val="false"/>
          <w:smallCaps w:val="false"/>
          <w:sz w:val="20"/>
        </w:rPr>
        <w:t>120</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0" w:after="0"/>
        <w:jc w:val="center"/>
        <w:rPr>
          <w:rFonts w:ascii="Times New Roman" w:hAnsi="Times New Roman"/>
          <w:b w:val="false"/>
          <w:i w:val="false"/>
          <w:caps w:val="false"/>
          <w:smallCaps w:val="false"/>
          <w:sz w:val="20"/>
        </w:rPr>
      </w:pPr>
      <w:bookmarkStart w:id="40" w:name="CONDENSED_CONSOLIDATED_STATEMENTS_OPERAT"/>
      <w:bookmarkEnd w:id="40"/>
      <w:r>
        <w:rPr>
          <w:rFonts w:ascii="Times New Roman" w:hAnsi="Times New Roman"/>
          <w:b w:val="false"/>
          <w:i w:val="false"/>
          <w:caps w:val="false"/>
          <w:smallCaps w:val="false"/>
          <w:sz w:val="20"/>
        </w:rPr>
        <w:t xml:space="preserve">CONSOLIDATED STATEMENTS OF OPERATIONS AND COMPREHENSIVE LOSS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(Amounts in thousands, except share and per share data) </w:t>
      </w:r>
    </w:p>
    <w:p>
      <w:pPr>
        <w:pStyle w:val="TextBody"/>
        <w:spacing w:before="0" w:after="0"/>
        <w:jc w:val="both"/>
        <w:rPr/>
      </w:pPr>
      <w:r>
        <w:rPr/>
        <w:t> </w:t>
      </w:r>
    </w:p>
    <w:tbl>
      <w:tblPr>
        <w:tblW w:w="7992" w:type="dxa"/>
        <w:jc w:val="center"/>
        <w:tblInd w:w="0" w:type="dxa"/>
        <w:tblCellMar>
          <w:top w:w="0" w:type="dxa"/>
          <w:left w:w="0" w:type="dxa"/>
          <w:bottom w:w="28" w:type="dxa"/>
          <w:right w:w="0" w:type="dxa"/>
        </w:tblCellMar>
      </w:tblPr>
      <w:tblGrid>
        <w:gridCol w:w="5945"/>
        <w:gridCol w:w="60"/>
        <w:gridCol w:w="134"/>
        <w:gridCol w:w="745"/>
        <w:gridCol w:w="85"/>
        <w:gridCol w:w="64"/>
        <w:gridCol w:w="134"/>
        <w:gridCol w:w="745"/>
        <w:gridCol w:w="80"/>
      </w:tblGrid>
      <w:tr>
        <w:trPr/>
        <w:tc>
          <w:tcPr>
            <w:tcW w:w="59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28,029</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61,534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8,996</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8,663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37,025</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70,197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(37,025</w:t>
            </w:r>
          </w:p>
        </w:tc>
        <w:tc>
          <w:tcPr>
            <w:tcW w:w="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(70,197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loans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(2,887</w:t>
            </w:r>
          </w:p>
        </w:tc>
        <w:tc>
          <w:tcPr>
            <w:tcW w:w="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(expense) income,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(2,733</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 (expense) benefit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(39,758</w:t>
            </w:r>
          </w:p>
        </w:tc>
        <w:tc>
          <w:tcPr>
            <w:tcW w:w="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(68,839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(expense) benefit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(813</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(40,571</w:t>
            </w:r>
          </w:p>
        </w:tc>
        <w:tc>
          <w:tcPr>
            <w:tcW w:w="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(68,819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Extinguishment of Series B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10,701</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attributable to noncontrolling interest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(518</w:t>
            </w:r>
          </w:p>
        </w:tc>
        <w:tc>
          <w:tcPr>
            <w:tcW w:w="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attributable to common stockholders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(29,352</w:t>
            </w:r>
          </w:p>
        </w:tc>
        <w:tc>
          <w:tcPr>
            <w:tcW w:w="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(68,611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attributable to common stockholders,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(102.93</w:t>
            </w:r>
          </w:p>
        </w:tc>
        <w:tc>
          <w:tcPr>
            <w:tcW w:w="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(374.39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stock outstanding,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285,162</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183,262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comprehensive income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(40,571</w:t>
            </w:r>
          </w:p>
        </w:tc>
        <w:tc>
          <w:tcPr>
            <w:tcW w:w="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(68,819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gain on available-for-sale securities, net of tax</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exchange translation adjustment, net of tax</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(40,589</w:t>
            </w:r>
          </w:p>
        </w:tc>
        <w:tc>
          <w:tcPr>
            <w:tcW w:w="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(68,983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Comprehensive loss attributable to noncontrolling interest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(518</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 attributable to common stockholders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(40,071</w:t>
            </w:r>
          </w:p>
        </w:tc>
        <w:tc>
          <w:tcPr>
            <w:tcW w:w="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(68,752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4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bookmarkStart w:id="41" w:name="_AEIOULastRenderedPageBreakAEIOU21"/>
      <w:bookmarkEnd w:id="41"/>
      <w:r>
        <w:rPr>
          <w:rFonts w:ascii="Times New Roman" w:hAnsi="Times New Roman"/>
          <w:b w:val="false"/>
          <w:i w:val="false"/>
          <w:caps w:val="false"/>
          <w:smallCaps w:val="false"/>
          <w:sz w:val="20"/>
        </w:rPr>
        <w:t xml:space="preserve">TERNS PHARMACEUTICALS, INC. </w:t>
      </w:r>
    </w:p>
    <w:p>
      <w:pPr>
        <w:pStyle w:val="TextBody"/>
        <w:spacing w:before="0" w:after="0"/>
        <w:jc w:val="center"/>
        <w:rPr>
          <w:rFonts w:ascii="Times New Roman" w:hAnsi="Times New Roman"/>
          <w:b w:val="false"/>
          <w:i w:val="false"/>
          <w:caps w:val="false"/>
          <w:smallCaps w:val="false"/>
          <w:sz w:val="20"/>
        </w:rPr>
      </w:pPr>
      <w:bookmarkStart w:id="42" w:name="CONDENSED_CONSOLIDATED_STATEMENTS_NONCON"/>
      <w:bookmarkEnd w:id="42"/>
      <w:r>
        <w:rPr>
          <w:rFonts w:ascii="Times New Roman" w:hAnsi="Times New Roman"/>
          <w:b w:val="false"/>
          <w:i w:val="false"/>
          <w:caps w:val="false"/>
          <w:smallCaps w:val="false"/>
          <w:sz w:val="20"/>
        </w:rPr>
        <w:t xml:space="preserve">CONSOLIDATED STATEMENTS OF NONCONTROLLING INTEREST, CONVERTIBLE PREFERRED STOCK AND STOCKHOLDERS’ DEFICIT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(Amounts in thousands, except share data) </w:t>
      </w:r>
    </w:p>
    <w:p>
      <w:pPr>
        <w:pStyle w:val="TextBody"/>
        <w:spacing w:before="0" w:after="0"/>
        <w:jc w:val="both"/>
        <w:rPr/>
      </w:pPr>
      <w:r>
        <w:rPr/>
        <w:t> </w:t>
      </w:r>
    </w:p>
    <w:tbl>
      <w:tblPr>
        <w:tblW w:w="13335" w:type="dxa"/>
        <w:jc w:val="center"/>
        <w:tblInd w:w="0" w:type="dxa"/>
        <w:tblCellMar>
          <w:top w:w="0" w:type="dxa"/>
          <w:left w:w="0" w:type="dxa"/>
          <w:bottom w:w="28" w:type="dxa"/>
          <w:right w:w="0" w:type="dxa"/>
        </w:tblCellMar>
      </w:tblPr>
      <w:tblGrid>
        <w:gridCol w:w="1220"/>
        <w:gridCol w:w="60"/>
        <w:gridCol w:w="138"/>
        <w:gridCol w:w="722"/>
        <w:gridCol w:w="80"/>
        <w:gridCol w:w="60"/>
        <w:gridCol w:w="60"/>
        <w:gridCol w:w="740"/>
        <w:gridCol w:w="60"/>
        <w:gridCol w:w="60"/>
        <w:gridCol w:w="110"/>
        <w:gridCol w:w="515"/>
        <w:gridCol w:w="60"/>
        <w:gridCol w:w="60"/>
        <w:gridCol w:w="60"/>
        <w:gridCol w:w="800"/>
        <w:gridCol w:w="80"/>
        <w:gridCol w:w="60"/>
        <w:gridCol w:w="110"/>
        <w:gridCol w:w="575"/>
        <w:gridCol w:w="80"/>
        <w:gridCol w:w="60"/>
        <w:gridCol w:w="60"/>
        <w:gridCol w:w="740"/>
        <w:gridCol w:w="60"/>
        <w:gridCol w:w="60"/>
        <w:gridCol w:w="110"/>
        <w:gridCol w:w="515"/>
        <w:gridCol w:w="60"/>
        <w:gridCol w:w="60"/>
        <w:gridCol w:w="60"/>
        <w:gridCol w:w="60"/>
        <w:gridCol w:w="605"/>
        <w:gridCol w:w="60"/>
        <w:gridCol w:w="60"/>
        <w:gridCol w:w="179"/>
        <w:gridCol w:w="426"/>
        <w:gridCol w:w="60"/>
        <w:gridCol w:w="60"/>
        <w:gridCol w:w="138"/>
        <w:gridCol w:w="647"/>
        <w:gridCol w:w="80"/>
        <w:gridCol w:w="60"/>
        <w:gridCol w:w="269"/>
        <w:gridCol w:w="861"/>
        <w:gridCol w:w="80"/>
        <w:gridCol w:w="60"/>
        <w:gridCol w:w="136"/>
        <w:gridCol w:w="829"/>
        <w:gridCol w:w="80"/>
        <w:gridCol w:w="60"/>
        <w:gridCol w:w="134"/>
        <w:gridCol w:w="816"/>
        <w:gridCol w:w="80"/>
      </w:tblGrid>
      <w:tr>
        <w:trPr/>
        <w:tc>
          <w:tcPr>
            <w:tcW w:w="12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Controlling</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4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A 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8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B 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 Stock</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4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C 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Income (Loss)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Interest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Balances at 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2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14,325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2,089,285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21,938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2,384,195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73,029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104,761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6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2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(23,251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1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(22,737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Exercise of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Vesting of restricted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101,190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Stock-based compensation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Unrealized gain on available-for-sale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Unrealized loss on foreign currency translation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2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(68,611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(68,611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Balances at 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2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14,117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2,089,285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21,938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2,384,195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73,029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215,890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2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4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6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(91,862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1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(90,760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Exercise of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38,285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Vesting of restricted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83,333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Stock-based compensation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1,691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1,691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LAV Option Exercise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(13,599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767,857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8,062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216,450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Series C convertible preferred stock, net of issuance costs of $330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5,966,686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69,170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Conversion of 2020 convertible promissory notes to Series C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1,366,820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15,921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1,769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1,769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Conversion of Bridge Loan to Series C 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167,159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Extinguishment of Series B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(2,600,645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(79,696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10,701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10,701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Reissuance of Series B 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2,600,645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68,995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Unrealized loss on foreign currency translation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2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(40,053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(40,053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122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Balances at 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2,857,142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30,000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2,600,645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68,995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7,500,665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87,038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337,508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4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14,598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6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2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(131,915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1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(117,441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bl>
    <w:p>
      <w:pPr>
        <w:pStyle w:val="TextBody"/>
        <w:spacing w:before="0" w:after="0"/>
        <w:jc w:val="both"/>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bookmarkStart w:id="43" w:name="_AEIOULastRenderedPageBreakAEIOU22"/>
      <w:bookmarkEnd w:id="43"/>
      <w:r>
        <w:rPr>
          <w:rFonts w:ascii="Times New Roman" w:hAnsi="Times New Roman"/>
          <w:b w:val="false"/>
          <w:i w:val="false"/>
          <w:caps w:val="false"/>
          <w:smallCaps w:val="false"/>
          <w:sz w:val="20"/>
        </w:rPr>
        <w:t xml:space="preserve">TERNS PHARMACEUTICALS, INC. </w:t>
      </w:r>
    </w:p>
    <w:p>
      <w:pPr>
        <w:pStyle w:val="TextBody"/>
        <w:spacing w:before="0" w:after="0"/>
        <w:jc w:val="center"/>
        <w:rPr>
          <w:rFonts w:ascii="Times New Roman" w:hAnsi="Times New Roman"/>
          <w:b w:val="false"/>
          <w:i w:val="false"/>
          <w:caps w:val="false"/>
          <w:smallCaps w:val="false"/>
          <w:sz w:val="20"/>
        </w:rPr>
      </w:pPr>
      <w:bookmarkStart w:id="44" w:name="CONDENSED_CONSOLIDATED_STATEMENTS_CASH_F"/>
      <w:bookmarkEnd w:id="44"/>
      <w:r>
        <w:rPr>
          <w:rFonts w:ascii="Times New Roman" w:hAnsi="Times New Roman"/>
          <w:b w:val="false"/>
          <w:i w:val="false"/>
          <w:caps w:val="false"/>
          <w:smallCaps w:val="false"/>
          <w:sz w:val="20"/>
        </w:rPr>
        <w:t xml:space="preserve">CONSOLIDATED STATEMENTS OF CASH FLOWS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(Amounts in thousands) </w:t>
      </w:r>
    </w:p>
    <w:p>
      <w:pPr>
        <w:pStyle w:val="TextBody"/>
        <w:spacing w:before="120" w:after="0"/>
        <w:jc w:val="both"/>
        <w:rPr>
          <w:caps w:val="false"/>
          <w:smallCaps w:val="false"/>
        </w:rPr>
      </w:pPr>
      <w:r>
        <w:rPr>
          <w:caps w:val="false"/>
          <w:smallCaps w:val="false"/>
        </w:rPr>
        <w:t> </w:t>
      </w:r>
    </w:p>
    <w:p>
      <w:pPr>
        <w:pStyle w:val="TextBody"/>
        <w:spacing w:before="0" w:after="0"/>
        <w:rPr/>
      </w:pPr>
      <w:r>
        <w:rPr/>
        <w:t> </w:t>
      </w:r>
    </w:p>
    <w:tbl>
      <w:tblPr>
        <w:tblW w:w="9912" w:type="dxa"/>
        <w:jc w:val="center"/>
        <w:tblInd w:w="0" w:type="dxa"/>
        <w:tblCellMar>
          <w:top w:w="0" w:type="dxa"/>
          <w:left w:w="0" w:type="dxa"/>
          <w:bottom w:w="28" w:type="dxa"/>
          <w:right w:w="0" w:type="dxa"/>
        </w:tblCellMar>
      </w:tblPr>
      <w:tblGrid>
        <w:gridCol w:w="7865"/>
        <w:gridCol w:w="60"/>
        <w:gridCol w:w="141"/>
        <w:gridCol w:w="734"/>
        <w:gridCol w:w="90"/>
        <w:gridCol w:w="67"/>
        <w:gridCol w:w="141"/>
        <w:gridCol w:w="734"/>
        <w:gridCol w:w="80"/>
      </w:tblGrid>
      <w:tr>
        <w:trPr/>
        <w:tc>
          <w:tcPr>
            <w:tcW w:w="78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(40,571</w:t>
            </w:r>
          </w:p>
        </w:tc>
        <w:tc>
          <w:tcPr>
            <w:tcW w:w="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(68,819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1,691</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394</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Amortization and accretion on 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convertible notes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2,887</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deferred taxes and uncertain tax positions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693</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operating assets and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1,389</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(1,146</w:t>
            </w:r>
          </w:p>
        </w:tc>
        <w:tc>
          <w:tcPr>
            <w:tcW w:w="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 and other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4,780</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w:t>
            </w:r>
          </w:p>
        </w:tc>
        <w:tc>
          <w:tcPr>
            <w:tcW w:w="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(29,809</w:t>
            </w:r>
          </w:p>
        </w:tc>
        <w:tc>
          <w:tcPr>
            <w:tcW w:w="9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(66,222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of 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(584</w:t>
            </w:r>
          </w:p>
        </w:tc>
        <w:tc>
          <w:tcPr>
            <w:tcW w:w="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of short-term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(715</w:t>
            </w:r>
          </w:p>
        </w:tc>
        <w:tc>
          <w:tcPr>
            <w:tcW w:w="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(13,314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sale and maturity of short-term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2,431</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sale and maturity of 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5,561</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39,510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of marketable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(45,071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(used in) investing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6,693</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(3,856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proceeds from issuance of Series C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69,377</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proceeds from repayment of founders’ loans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Payment of deferred offering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(858</w:t>
            </w:r>
          </w:p>
        </w:tc>
        <w:tc>
          <w:tcPr>
            <w:tcW w:w="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loans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16,876</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stock option exercises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85,515</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 of exchange rate changes on cash, cash equivalents and restricted cash</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bottom w:val="sing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increase (decrease) in cash, cash equivalents and restricted cash</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62,479</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(70,147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8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cash equivalents and restricted cash at beginning of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12,375</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82,522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cash equivalents and restricted cash at end of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74,854</w:t>
            </w:r>
          </w:p>
        </w:tc>
        <w:tc>
          <w:tcPr>
            <w:tcW w:w="9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12,375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cash flow information: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noncash investing and 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LAV Option exercise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13,599</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Conversion of 2020 convertible promissory notes to Series C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17,690</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Conversion of Bridge Loan to Series C 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2,163</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Extinguishment of Series B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10,701</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8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offering costs and Series C offering costs within accounts payable and accrued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1,519</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financial statements.</w:t>
      </w:r>
    </w:p>
    <w:p>
      <w:pPr>
        <w:pStyle w:val="TextBody"/>
        <w:spacing w:before="4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bookmarkStart w:id="45" w:name="NOTES_TO_UNAUDITED_CONDENSED_CONSOLIDATE"/>
      <w:bookmarkEnd w:id="45"/>
      <w:r>
        <w:rPr>
          <w:rFonts w:ascii="Times New Roman" w:hAnsi="Times New Roman"/>
          <w:b w:val="false"/>
          <w:i w:val="false"/>
          <w:caps w:val="false"/>
          <w:smallCaps w:val="false"/>
          <w:sz w:val="20"/>
        </w:rPr>
        <w:t xml:space="preserve">NOTES TO CONSOLIDATED FINANCIAL STATEMENTS </w:t>
      </w:r>
    </w:p>
    <w:tbl>
      <w:tblPr>
        <w:tblW w:w="4270" w:type="dxa"/>
        <w:jc w:val="left"/>
        <w:tblInd w:w="0" w:type="dxa"/>
        <w:tblCellMar>
          <w:top w:w="0" w:type="dxa"/>
          <w:left w:w="0" w:type="dxa"/>
          <w:bottom w:w="0" w:type="dxa"/>
          <w:right w:w="0" w:type="dxa"/>
        </w:tblCellMar>
      </w:tblPr>
      <w:tblGrid>
        <w:gridCol w:w="170"/>
        <w:gridCol w:w="4100"/>
      </w:tblGrid>
      <w:tr>
        <w:trPr/>
        <w:tc>
          <w:tcPr>
            <w:tcW w:w="170" w:type="dxa"/>
            <w:tcBorders/>
            <w:shd w:fill="auto" w:val="clear"/>
          </w:tcPr>
          <w:p>
            <w:pPr>
              <w:pStyle w:val="TableContents"/>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w:t>
            </w:r>
          </w:p>
        </w:tc>
        <w:tc>
          <w:tcPr>
            <w:tcW w:w="4100" w:type="dxa"/>
            <w:tcBorders/>
            <w:shd w:fill="auto" w:val="clear"/>
          </w:tcPr>
          <w:p>
            <w:pPr>
              <w:pStyle w:val="TableContents"/>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Nature of the Business and Basis of Presentation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Terns Pharmaceuticals Inc. (Terns) is a clinical-stage biopharmaceutical company developing a portfolio of small-molecule single-agent and combination therapy candidates for the treatment of non-alcoholic steatohepatitis (NASH) and other chronic liver diseases. Terns was incorporated as an exempted company in the Cayman Islands with limited liability in December 2016. On December 29, 2020, the Company effected a de-registration of the Company in the Cayman Islands and a domestication in the State of Delaware (Domestication), pursuant to which it became a Delaware corporation and no longer subject to the laws of the Cayman Islands. Terns owns all of the share capital of Terns Pharmaceutical HongKong Limited (organized in Hong Kong) (Terns Hong Kong) and Terns, Inc., a Delaware corporation (Terns U.S. Opco). Terns Hong Kong holds the majority interest in Terns China Biotechnology Co., Ltd. (organized in Shanghai, People’s Republic of China (PRC)) (Terns China) and its wholly owned subsidiary, Terns (Suzhou) Biotechnology Co., Ltd. (organized in Suzhou, PRC) (Terns Suzhou). Terns and its consolidated subsidiaries are hereinafter referred to as the “Company.” The Company’s principal office is in Foster City, California. Terns China and Terns Suzhou are collectively referred to as the “China Subsidiaries.”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is subject to risks and uncertainties common to early-stage companies in the biopharmaceutical industry, including, but not limited to, successful discovery and development of its drug candidates, the ability to secure additional capital to fund operations, regulatory approval of its drug candidates, development by competitors of new technological innovations, dependence on key personnel, the ability to attract and retain qualified employees, compliance with governmental regulations, the impact of the COVID-19 coronavirus and, ultimately, the commercial success of its drug candidates. Any drug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consolidated financial statements are prepared in accordance with accounting principles generally accepted in the United States of America (U.S. GAAP) and include the accounts of Terns and its wholly owned subsidiaries Terns U.S. Opco and Terns Hong Kong, its wholly owned subsidiary Terns Suzhou, and a variable interest entity (VIE) Terns China in which Terns has a majority interest and is the primary beneficiary. The noncontrolling interest attributable to the Company’s VIE is presented as a separate component from stockholders’ deficit in the consolidated balance sheets, and a noncontrolling interest in the consolidated statements of operations and comprehensive loss and consolidated statements of noncontrolling interest, convertible preferred stock and stockholders’ deficit. The Company’s consolidated financial statements have been prepared in conformity with U.S. GAAP. All intercompany balances and transactions have been eliminated in consolidation.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Initial Public Offering</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February 2021, the Company completed an initial public offering (the “IPO”) of 8,625,000 shares of its common stock, including the exercise in full by the underwriters of their option to purchase up to 1,125,000 additional shares of common stock, for net proceeds of $132.9 million, after deducting underwriting discounts and commissions and offering expenses, and its shares started trading on The Nasdaq Global Select Market under the ticker symbol “TERN.” Upon closing of the IPO, all of the Company's outstanding shares of convertible preferred stock automatically converted into </w:t>
      </w:r>
      <w:r>
        <w:rPr>
          <w:rFonts w:ascii="Times New Roman" w:hAnsi="Times New Roman"/>
          <w:b w:val="false"/>
          <w:i w:val="false"/>
          <w:caps w:val="false"/>
          <w:smallCaps w:val="false"/>
          <w:color w:val="000000"/>
          <w:sz w:val="20"/>
          <w:highlight w:val="white"/>
        </w:rPr>
        <w:t xml:space="preserve">16,079,230 </w:t>
      </w:r>
      <w:r>
        <w:rPr>
          <w:rFonts w:ascii="Times New Roman" w:hAnsi="Times New Roman"/>
          <w:b w:val="false"/>
          <w:i w:val="false"/>
          <w:caps w:val="false"/>
          <w:smallCaps w:val="false"/>
          <w:sz w:val="20"/>
        </w:rPr>
        <w:t>shares of common stock.</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Certificate of Incorporation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2020, in connection with the Domestication, the Company’s Board of Directors and stockholders approved the certificate of incorporation in the State of Delaware. The total number of shares of all classes of stock which the Company is authorized to issue is (i) 299,700,000 shares of common stock, (ii) 40,000,000 shares of Series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124</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convertible preferred stock, (iii) 36,409,088 shares of Series B convertible preferred stock, and (iii) 111,619,996 shares of Series C convertible preferred stock. All classes of stock are authorized at a par value of $0.0001.</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Upon </w:t>
      </w:r>
      <w:r>
        <w:rPr>
          <w:rFonts w:ascii="Times New Roman" w:hAnsi="Times New Roman"/>
          <w:b w:val="false"/>
          <w:i w:val="false"/>
          <w:caps w:val="false"/>
          <w:smallCaps w:val="false"/>
          <w:color w:val="000000"/>
          <w:sz w:val="20"/>
        </w:rPr>
        <w:t>the completion of the IPO, all the outstanding shares of convertible preferred stock converted into common stock and the Company does not have any shares of preferred stock outstanding. In February 2021, the Company’s amended and restated certificate of incorporation filed with the Secretary of State of the State of Delaware became effective in connection with the closing of IPO. Under the amended and restated certificate of incorporation, the Company is authorized to issue 150,000,000 shares of common stock and 10,000,000 shares of preferred stock. All classes of stock are authorized at a par value of $0.0001.</w:t>
      </w:r>
    </w:p>
    <w:p>
      <w:pPr>
        <w:pStyle w:val="TextBody"/>
        <w:spacing w:before="0" w:after="0"/>
        <w:jc w:val="both"/>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Reverse Stock Split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January 2021, the Company filed the amended and restated certificate of incorporation to effectuate a reverse split of shares of the Company’s common stock and convertible preferred stock on a 1-for-14 basis (the “Reverse Stock Split”). The par value and the number of authorized shares of the convertible preferred stock and common stock were not adjusted as a result of the Reverse Stock Split. All issued and outstanding common stock, options to purchase common stock and per share amounts contained in the condensed consolidated financial statements have been retroactively adjusted to give effect to the Reverse Stock Split for all periods presented.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Variable Interest Entity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consolidates a VIE where it has been determined that the Company is the primary beneficiary of the entity’s operations. The Company has considered its relationships with a certain entity to determine whether the Company has a variable interest in that entity, and if so, whether the Company is the primary beneficiary of the relationship. U.S. GAAP requires VIEs to be consolidated if an entity’s interest in the VIE is a controlling financial interest. Under the variable interest model, a controlling financial interest is determined based on which entity, if any, has (i) the power to direct the activities of the VIE that most significantly impacts the VIE’s economic performance and (ii) the obligations to absorb losses that could potentially be significant to the VIE or the right to receive benefits from the VIE that could potentially be significant to the VIE.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Management performs ongoing reassessments of whether changes in the facts and circumstances regarding the Company’s involvement with a VIE will cause the consolidation conclusion to change. The consolidation status of a VIE may change as a result of such reassessments. Changes in consolidation status are applied prospectively in accordance with U.S. GAAP. </w:t>
      </w:r>
    </w:p>
    <w:p>
      <w:pPr>
        <w:pStyle w:val="TextBody"/>
        <w:spacing w:before="0" w:after="0"/>
        <w:jc w:val="both"/>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Impact of the COVID-19 Pandemic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is rapidly evolving. The COVID-19 virus continues to impact countries worldwide, including the U.S. and China where the Company has business operations. The extent of the impact of the COVID-19 pandemic on business, operations and development timelines and plans remains uncertain, and will depend on certain developments, including the duration and spread of the outbreak and its impact on the Company’s development activities, planned clinical trial enrollment, future trial sites, contract research organizations (CROs), third-party manufacturers and other third parties with whom the Company conducts business, as well as its impact on regulatory authorities and the Company’s key scientific and management personnel. The ultimate impact of the COVID-19 pandemic or a similar health epidemic is highly uncertain and subject to change. To the extent possible, the Company is conducting business as usual, with necessary or advisable modifications to employee travel and with employees working remotely. The Company will continue to actively monitor the rapidly evolving situation related to the COVID-19 pandemic and may take further actions that alter the Company’s operations, including those that may be required by federal, state or local authorities in the United States and China, or that the Company determines are in the best interest of its employees and other third parties with whom the Company conducts business. At this point, the extent to which the COVID-19 pandemic may affect the Company’s business, operations and development timelines and plans, including the resulting impact on expenditures and capital needs, remains uncertain.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125</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tbl>
      <w:tblPr>
        <w:tblW w:w="3955" w:type="dxa"/>
        <w:jc w:val="left"/>
        <w:tblInd w:w="0" w:type="dxa"/>
        <w:tblCellMar>
          <w:top w:w="0" w:type="dxa"/>
          <w:left w:w="0" w:type="dxa"/>
          <w:bottom w:w="0" w:type="dxa"/>
          <w:right w:w="0" w:type="dxa"/>
        </w:tblCellMar>
      </w:tblPr>
      <w:tblGrid>
        <w:gridCol w:w="170"/>
        <w:gridCol w:w="3785"/>
      </w:tblGrid>
      <w:tr>
        <w:trPr/>
        <w:tc>
          <w:tcPr>
            <w:tcW w:w="170"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2.</w:t>
            </w:r>
          </w:p>
        </w:tc>
        <w:tc>
          <w:tcPr>
            <w:tcW w:w="3785"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Summary of Significant Accounting Policies </w:t>
            </w:r>
          </w:p>
        </w:tc>
      </w:tr>
    </w:tbl>
    <w:p>
      <w:pPr>
        <w:pStyle w:val="TextBody"/>
        <w:shd w:fill="FFFFFF" w:val="clear"/>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Use of Estimates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preparation of financial statements in conformity with U.S. GAAP requires management to make estimates and assumptions that affect the reported amounts of assets and liabilities at the date of the financial statements and reported amounts of expenses during the reporting period. Significant estimates and assumptions made in the accompanying consolidated financial statements include, but are not limited to, the estimates for accruals of research and development expenses, accrual of research contract costs, unrecognized tax benefits, fair value of common stock and stock option valuations. On an ongoing </w:t>
      </w:r>
      <w:r>
        <w:rPr>
          <w:rFonts w:ascii="Times New Roman" w:hAnsi="Times New Roman"/>
          <w:b w:val="false"/>
          <w:i w:val="false"/>
          <w:caps w:val="false"/>
          <w:smallCaps w:val="false"/>
          <w:color w:val="000000"/>
          <w:sz w:val="20"/>
          <w:highlight w:val="white"/>
        </w:rPr>
        <w:t>basis, the Company evaluates its estimates and judgments, using historical and anticipated results and trends and on various other assumptions that management believes to be reasonable under the circumstances. Actual results could differ from those estimates.</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Cash, Cash Equivalents and Restricted Cash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Cash and cash equivalents consist of standard checking accounts and money market funds. The Company considers all highly liquid investments with an original maturity of 90 days or less at the date of purchase to be cash equivalents. Restricted cash represents a security deposit related to a lease.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reconciliation of cash, cash equivalents and restricted cash reported within the applicable balance sheet line items that sum to the total of the same such amount shown in the consolidated statements of cash flows is as follows: </w:t>
      </w:r>
    </w:p>
    <w:p>
      <w:pPr>
        <w:pStyle w:val="TextBody"/>
        <w:spacing w:before="0" w:after="0"/>
        <w:jc w:val="both"/>
        <w:rPr/>
      </w:pPr>
      <w:r>
        <w:rPr/>
        <w:t> </w:t>
      </w:r>
    </w:p>
    <w:tbl>
      <w:tblPr>
        <w:tblW w:w="5515" w:type="dxa"/>
        <w:jc w:val="center"/>
        <w:tblInd w:w="0" w:type="dxa"/>
        <w:tblCellMar>
          <w:top w:w="0" w:type="dxa"/>
          <w:left w:w="0" w:type="dxa"/>
          <w:bottom w:w="28" w:type="dxa"/>
          <w:right w:w="0" w:type="dxa"/>
        </w:tblCellMar>
      </w:tblPr>
      <w:tblGrid>
        <w:gridCol w:w="3845"/>
        <w:gridCol w:w="60"/>
        <w:gridCol w:w="125"/>
        <w:gridCol w:w="590"/>
        <w:gridCol w:w="60"/>
        <w:gridCol w:w="60"/>
        <w:gridCol w:w="125"/>
        <w:gridCol w:w="590"/>
        <w:gridCol w:w="60"/>
      </w:tblGrid>
      <w:tr>
        <w:trPr/>
        <w:tc>
          <w:tcPr>
            <w:tcW w:w="384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cash, non-current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cash equivalents and restricted cash</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74,854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12,375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hd w:fill="FFFFFF" w:val="clear"/>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Marketable Securities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classifies as available-for-sale marketable securities with a remaining maturity when purchased of greater than three months. Marketable securities with a remaining maturity date greater than one year are classified as non-current. The Company’s marketable securities are maintained by investment managers and consist of U.S. Treasury securities and equity securities. Debt securities are carried at fair value with the unrealized gains and losses included in other comprehensive income (loss) as a component of stockholders’ deficit until realized. Any premium arising at purchase is amortized to the earliest call date and any discount arising at purchase is accreted to maturity. Amortization and accretion of premiums and discounts are recorded in interest income and/or expense. Equity securities with readily determinable fair values are also carried at fair value with unrealized gains and losses are included in other income (expense), net. Realized gains and losses on both debt and equity securities are determined using the specific identification method and are included in other income (expense), net.</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classifies equity securities with readily determinable fair values, which would be available for use in its current operations, as current assets even though the Company may not dispose of such marketable securities within the next 12 months. Equity securities are included in marketable securities on the Company’s consolidated balance sheet.</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any adjustment to fair value reflects a decline in value of the investment, the Company considers all available evidence to evaluate the extent to which the decline is “other-than-temporary” and, if so, marks the investment to market through a charge to the Company’s consolidated statements of operations and comprehensive loss.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Functional Currencies and Foreign Currency Translation</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Company’s reporting currency is U.S. dollars. The functional currency of Terns U.S. Opco and Terns H.K. is U.S. dollars, while the functional currency of Terns Suzhou and Terns China is the Chinese Yuan (CNY). Transactions denominated in other than the functional currencies are remeasured into the functional currency of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126</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entity at the exchange rates prevailing on the transaction dates. Financial assets and liabilities denominated in other than the functional currency are remeasured at the balance sheet date exchange rate. The resulting exchange rate differences are recorded in the consolidated statements of operations and comprehensive loss as a foreign exchange related gain or loss.</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 and liabilities of Terns Suzhou and Terns China are translated into U.S. dollars at the balance sheet date exchange rates, while income and expense items are translated at the average exchange rates prevailing during the fiscal year. Translation adjustments arising from these are reported as foreign currency translation adjustments and are shown as accumulated other comprehensive income (loss) on the consolidated balance sheets.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Concentration of Credit Risk and Other Risks and Uncertainties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Financial instruments that potentially subject the Company to concentration of credit risk consist of cash, cash equivalents, marketable securities and short-term investments. The Company invests its excess cash with large financial institutions that management believes to be of high credit quality. The Company has not experienced any losses on such deposits.</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Company’s drug candidates require approvals from the U.S. Food and Drug Administration and comparable foreign regulatory agencies prior to generating commercial sales in their respective jurisdictions. There can be no assurance that any drug candidates will receive the necessary approvals. If the Company is denied approval, approval is delayed or the Company is unable to maintain approval for any drug candidate, it could have a materially adverse impact on the Company.</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Fair Value Measurements of Financial Instruments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Fair value is defined as the price that would be received to sell an asset or paid to transfer a liability in an orderly transaction between market participants at the measurement date. The three levels of inputs that may be used to measure fair value are defined below:</w:t>
      </w:r>
    </w:p>
    <w:tbl>
      <w:tblPr>
        <w:tblW w:w="8170" w:type="dxa"/>
        <w:jc w:val="left"/>
        <w:tblInd w:w="0" w:type="dxa"/>
        <w:tblCellMar>
          <w:top w:w="0" w:type="dxa"/>
          <w:left w:w="0" w:type="dxa"/>
          <w:bottom w:w="0" w:type="dxa"/>
          <w:right w:w="0" w:type="dxa"/>
        </w:tblCellMar>
      </w:tblPr>
      <w:tblGrid>
        <w:gridCol w:w="60"/>
        <w:gridCol w:w="110"/>
        <w:gridCol w:w="80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0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Level 1—Quoted prices in active markets for identical assets or liabilities at the measurement date.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Level 2—Inputs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Level 3—Unobservable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carrying values of the Company’s other assets, accounts payable and accrued expenses and other current liabilities approximate their fair values due to the short-term nature of these assets and liabilities.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Classification of Convertible Preferred Stock and Presentation of Noncontrolling Interest</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holders of Series A and Series B convertible preferred stock have certain liquidation rights in the event of a deemed liquidation that, in certain situations, is not solely within the control of the Company and would call for the redemption of the then outstanding Series A and Series B convertible preferred stock. Therefore, the Series A and Series B convertible preferred stock are classified outside of shareholders’ deficit on the consolidated balance sheets. The carrying value of the convertible preferred stock is not subsequently remeasured to the redemption value until the contingent redemption events are considered to be probable of occurring.</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recognizes noncontrolling interest related to VIEs, in which the Company is the primary beneficiary, as equity in the consolidated financial statements separate from the parent entity’s equity. The net loss attributable to noncontrolling interest is included in net loss in the consolidated statements of operations and comprehensive loss. Changes in the parent entity’s ownership interest in a subsidiary that do not result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127</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deconsolidation are treated as equity transactions if the parent entity retains its controlling financial interest. In addition, when a subsidiary is deconsolidated, any retained noncontrolling equity investment in the former subsidiary will be initially measured at fair value and the difference between the carrying value and fair value of the retained interest will be recorded as a gain or loss.</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Terns China, the Company’s VIE, was established as a financing subsidiary to allow investment by Lilly Asia Ventures (LAV) investment entities: Suzhou Litai Equity Investment Centre (Limited Partnership) (PRC) and Suzhou Lirui Equity Investment Centre (Limited Partnership) (PRC), collectively referred to as the “LAV PRC Entities”. The Company’s board of directors has the unilateral ability to control the Terns China board of directors. Net losses of the China Subsidiaries have been allocated based on their ownership percentage to the LAV PRC Entities’ noncontrolling interest and are reflected in the consolidated statements of operations and comprehensive loss. The noncontrolling interest is classified outside of stockholders’ deficit on the consolidated balance sheets as it is redeemable for cash based on an investor option after a specified date.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December 2020, the LAV PRC Entities exercised their option resulting in the conversion of all of the equity interests in Terns China held by the LAV PRC Entities into shares of the Company’s preferred stock (the “China Conversion”). Following the completion of the China Conversion, Terns China became a wholly owned subsidiary of the Company. The Company does not currently anticipate any further direct third party investments into Terns China and Terns China will only act as an operating subsidiary for the Company’s business activities in China.</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February 2021, upon the completion of the IPO, the outstanding shares of preferred stock of the Company were converted into shares of common stock.  </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Segment Information</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manages its operations as a single segment for the purposes of assessing performance and making operating decisions.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Research and Development Expenses</w:t>
      </w:r>
    </w:p>
    <w:p>
      <w:pPr>
        <w:pStyle w:val="TextBody"/>
        <w:shd w:fill="FFFFFF" w:val="clear"/>
        <w:spacing w:before="0" w:after="0"/>
        <w:jc w:val="both"/>
        <w:rPr/>
      </w:pPr>
      <w:r>
        <w:rPr/>
        <w:t> </w:t>
      </w:r>
    </w:p>
    <w:p>
      <w:pPr>
        <w:pStyle w:val="TextBody"/>
        <w:shd w:fill="FFFFFF" w:val="clear"/>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costs are expensed as incurred. Research and development expenses consist of costs incurred to discover, research and develop drug candidates, including personnel expenses, stock-based compensation expense, allocated facility-related and depreciation expenses, third-party license fees and external costs including fees paid to consultants and CROs, in connection with nonclinical studies and clinical trials, and other related clinical trial fees, such as for investigator grants,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Costs incurred in obtaining technology licenses are charged immediately to research and development expense if the technology licensed has not reached technological feasibility and has no alternative future uses.</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the Company’s estimates. Since inception, the Company’s historical accrual estimates have not been materially different from the actual costs.</w:t>
      </w:r>
    </w:p>
    <w:p>
      <w:pPr>
        <w:pStyle w:val="TextBody"/>
        <w:shd w:fill="FFFFFF" w:val="clear"/>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128</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Patent Costs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patent-related costs incurred in connection with filing and prosecuting patent applications are expensed as incurred due to the uncertainty of the recovery of the expenditure. Amounts incurred are classified as general and administrative expenses in the consolidated statements of operations and comprehensive loss.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Property and Equipment</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are stated at cost, net of accumulated depreciation. Depreciation is computed using the straight-line method over the estimated useful lives. The general range of useful lives of equipment are as follows:</w:t>
      </w:r>
    </w:p>
    <w:p>
      <w:pPr>
        <w:pStyle w:val="TextBody"/>
        <w:shd w:fill="FFFFFF" w:val="clear"/>
        <w:spacing w:before="0" w:after="0"/>
        <w:rPr/>
      </w:pPr>
      <w:r>
        <w:rPr/>
        <w:t> </w:t>
      </w:r>
    </w:p>
    <w:tbl>
      <w:tblPr>
        <w:tblW w:w="6850" w:type="dxa"/>
        <w:jc w:val="center"/>
        <w:tblInd w:w="0" w:type="dxa"/>
        <w:tblCellMar>
          <w:top w:w="0" w:type="dxa"/>
          <w:left w:w="0" w:type="dxa"/>
          <w:bottom w:w="28" w:type="dxa"/>
          <w:right w:w="0" w:type="dxa"/>
        </w:tblCellMar>
      </w:tblPr>
      <w:tblGrid>
        <w:gridCol w:w="2060"/>
        <w:gridCol w:w="120"/>
        <w:gridCol w:w="4670"/>
      </w:tblGrid>
      <w:tr>
        <w:trPr/>
        <w:tc>
          <w:tcPr>
            <w:tcW w:w="2060" w:type="dxa"/>
            <w:tcBorders>
              <w:bottom w:val="single" w:sz="8"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0" w:type="dxa"/>
            <w:tcBorders>
              <w:bottom w:val="single" w:sz="8"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4670" w:type="dxa"/>
            <w:tcBorders>
              <w:bottom w:val="single" w:sz="8"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Estimated Useful Life</w:t>
            </w:r>
          </w:p>
        </w:tc>
      </w:tr>
      <w:tr>
        <w:trPr/>
        <w:tc>
          <w:tcPr>
            <w:tcW w:w="2060" w:type="dxa"/>
            <w:tcBorders/>
            <w:shd w:fill="FFFFFF"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Furniture and fixtures</w:t>
            </w:r>
          </w:p>
        </w:tc>
        <w:tc>
          <w:tcPr>
            <w:tcW w:w="12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467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years</w:t>
            </w:r>
          </w:p>
        </w:tc>
      </w:tr>
      <w:tr>
        <w:trPr/>
        <w:tc>
          <w:tcPr>
            <w:tcW w:w="2060" w:type="dxa"/>
            <w:tcBorders/>
            <w:shd w:fill="FFFFFF"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Computer equipment</w:t>
            </w:r>
          </w:p>
        </w:tc>
        <w:tc>
          <w:tcPr>
            <w:tcW w:w="12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467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years</w:t>
            </w:r>
          </w:p>
        </w:tc>
      </w:tr>
      <w:tr>
        <w:trPr/>
        <w:tc>
          <w:tcPr>
            <w:tcW w:w="2060" w:type="dxa"/>
            <w:tcBorders/>
            <w:shd w:fill="FFFFFF"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Office equipment</w:t>
            </w:r>
          </w:p>
        </w:tc>
        <w:tc>
          <w:tcPr>
            <w:tcW w:w="12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467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years</w:t>
            </w:r>
          </w:p>
        </w:tc>
      </w:tr>
      <w:tr>
        <w:trPr/>
        <w:tc>
          <w:tcPr>
            <w:tcW w:w="2060" w:type="dxa"/>
            <w:tcBorders/>
            <w:shd w:fill="FFFFFF" w:val="clear"/>
            <w:tcMar>
              <w:bottom w:w="0" w:type="dxa"/>
            </w:tcMar>
            <w:vAlign w:val="bottom"/>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Lab equipment</w:t>
            </w:r>
          </w:p>
        </w:tc>
        <w:tc>
          <w:tcPr>
            <w:tcW w:w="12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467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to 5 years</w:t>
            </w:r>
          </w:p>
        </w:tc>
      </w:tr>
      <w:tr>
        <w:trPr/>
        <w:tc>
          <w:tcPr>
            <w:tcW w:w="2060" w:type="dxa"/>
            <w:tcBorders/>
            <w:shd w:fill="FFFFFF" w:val="clear"/>
            <w:tcMar>
              <w:bottom w:w="0" w:type="dxa"/>
            </w:tcMar>
          </w:tcPr>
          <w:p>
            <w:pPr>
              <w:pStyle w:val="TableContents"/>
              <w:spacing w:before="0" w:after="0"/>
              <w:ind w:left="240" w:right="0" w:hanging="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Leasehold improvements</w:t>
            </w:r>
          </w:p>
        </w:tc>
        <w:tc>
          <w:tcPr>
            <w:tcW w:w="120" w:type="dxa"/>
            <w:tcBorders/>
            <w:shd w:fill="FFFFFF"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467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Shorter of remaining life of the lease or useful life of asset</w:t>
            </w:r>
          </w:p>
        </w:tc>
      </w:tr>
    </w:tbl>
    <w:p>
      <w:pPr>
        <w:pStyle w:val="TextBody"/>
        <w:shd w:fill="FFFFFF" w:val="clear"/>
        <w:spacing w:before="0" w:after="0"/>
        <w:jc w:val="both"/>
        <w:rPr/>
      </w:pPr>
      <w:r>
        <w:rPr/>
        <w:t> </w:t>
      </w:r>
    </w:p>
    <w:p>
      <w:pPr>
        <w:pStyle w:val="TextBody"/>
        <w:shd w:fill="FFFFFF" w:val="clear"/>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When assets are sold or retired, the cost and related accumulated depreciation are removed from the accounts, with any resulting gain or loss recorded in operating expenses in the consolidated statements of operations and comprehensive loss. Costs of repairs and maintenance are expensed as incurred.</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Impairment of Long-Lived Assets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Company’s long-lived assets are evaluated for impairment whenever events or changes in circumstances indicate that the carrying amount of the asset or asset group may not be recoverable. Recoverability of an asset to be held and used is measured by a comparison of the carrying amount of an asset or </w:t>
      </w:r>
      <w:r>
        <w:rPr>
          <w:rFonts w:ascii="Times New Roman" w:hAnsi="Times New Roman"/>
          <w:b w:val="false"/>
          <w:i w:val="false"/>
          <w:caps w:val="false"/>
          <w:smallCaps w:val="false"/>
          <w:color w:val="000000"/>
          <w:sz w:val="20"/>
          <w:highlight w:val="white"/>
        </w:rPr>
        <w:t>asset group to the future undiscounted cash flows expected to be generated by the asset or asset group. If such asset is considered to be impaired, the impairment to be recognized is measured by the amount by which the carrying amount of the asset exceeds its fair value. There were no impairments of long-lived assets for any of the periods presented.</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Income Taxes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taxes are computed using the asset and liability approach that requires the recognition of deferred tax assets and liabilities for the expected future tax consequences of events that have been recognized in the Company’s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In making such a determination, management considers all available positive and negative evidence, including future reversals of existing taxable temporary differences, projected future taxable income, and ongoing prudent and feasible tax planning strategies in assessing the amount of the valuation allowance. When the Company establishes or reduces the valuation allowance against its deferred tax assets, its provision for income taxes will increase or decrease, respectively, in the period such determination is made.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follows the provisions of the authoritative guidance from the FASB, on accounting for uncertainty in income taxes. These provisions provide a comprehensive model for the recognition, measurement and disclosure in financial statements of uncertain income tax positions that a company has taken or expects to take on a tax return. Under these provisions, a company can recognize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the Company must accrue interest and related penalties, if applicable, on all tax exposures for which reserves have been established consistent with jurisdictional tax laws.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Common Stock Valuation</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Due to the absence of an active market for the Company’s common stock prior to the completion of the IPO in February 2021, the Company utilized methodologies in accordance with the framework of the American Institute of Certified Public Accountants Technical Practice Aid, </w:t>
      </w:r>
      <w:r>
        <w:rPr>
          <w:rFonts w:ascii="Times New Roman" w:hAnsi="Times New Roman"/>
          <w:b w:val="false"/>
          <w:i/>
          <w:caps w:val="false"/>
          <w:smallCaps w:val="false"/>
          <w:color w:val="000000"/>
          <w:sz w:val="20"/>
        </w:rPr>
        <w:t>Valuation of Privately-Held Company Equity Securities Issued as Compensation</w:t>
      </w:r>
      <w:r>
        <w:rPr>
          <w:rFonts w:ascii="Times New Roman" w:hAnsi="Times New Roman"/>
          <w:b w:val="false"/>
          <w:i w:val="false"/>
          <w:caps w:val="false"/>
          <w:smallCaps w:val="false"/>
          <w:color w:val="000000"/>
          <w:sz w:val="20"/>
        </w:rPr>
        <w:t>, to estimate the fair value of its common stock. In determining the fair value of options granted prior to the IPO, the Company has considered the estimated fair value of the common stock as of the measurement date. The estimated fair value of the common stock prior to the IPO has been determined at each grant date based upon a variety of factors, including: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prices at which the Company sold shares of convertible preferred stock and the superior rights and preferences of the convertible preferred stock relative to its common stock at the time of each grant;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progress of the Company’s research and development programs, including the status and results of clinical and nonclinical studies for its drugs;</w:t>
            </w:r>
          </w:p>
        </w:tc>
      </w:tr>
    </w:tbl>
    <w:tbl>
      <w:tblPr>
        <w:tblW w:w="8275" w:type="dxa"/>
        <w:jc w:val="left"/>
        <w:tblInd w:w="0" w:type="dxa"/>
        <w:tblCellMar>
          <w:top w:w="0" w:type="dxa"/>
          <w:left w:w="0" w:type="dxa"/>
          <w:bottom w:w="0" w:type="dxa"/>
          <w:right w:w="0" w:type="dxa"/>
        </w:tblCellMar>
      </w:tblPr>
      <w:tblGrid>
        <w:gridCol w:w="60"/>
        <w:gridCol w:w="110"/>
        <w:gridCol w:w="81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10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Company’s stage of development and commercialization and its business strategy;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external market conditions affecting the biotechnology industry and trends within the biotechnology industry;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Company’s financial position, including cash on hand, and its historical and forecasted performance and operating results;</w:t>
            </w:r>
          </w:p>
        </w:tc>
      </w:tr>
    </w:tbl>
    <w:tbl>
      <w:tblPr>
        <w:tblW w:w="9745" w:type="dxa"/>
        <w:jc w:val="left"/>
        <w:tblInd w:w="0" w:type="dxa"/>
        <w:tblCellMar>
          <w:top w:w="0" w:type="dxa"/>
          <w:left w:w="0" w:type="dxa"/>
          <w:bottom w:w="0" w:type="dxa"/>
          <w:right w:w="0" w:type="dxa"/>
        </w:tblCellMar>
      </w:tblPr>
      <w:tblGrid>
        <w:gridCol w:w="60"/>
        <w:gridCol w:w="110"/>
        <w:gridCol w:w="95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5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lack of an active public market for the Company’s common stock and convertible preferred stock;</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likelihood of achieving a liquidity event, such as an IPO or sale of the Company in light of prevailing market conditions; and</w:t>
            </w:r>
          </w:p>
        </w:tc>
      </w:tr>
    </w:tbl>
    <w:tbl>
      <w:tblPr>
        <w:tblW w:w="9670" w:type="dxa"/>
        <w:jc w:val="left"/>
        <w:tblInd w:w="0" w:type="dxa"/>
        <w:tblCellMar>
          <w:top w:w="0" w:type="dxa"/>
          <w:left w:w="0" w:type="dxa"/>
          <w:bottom w:w="0" w:type="dxa"/>
          <w:right w:w="0" w:type="dxa"/>
        </w:tblCellMar>
      </w:tblPr>
      <w:tblGrid>
        <w:gridCol w:w="60"/>
        <w:gridCol w:w="110"/>
        <w:gridCol w:w="95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50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analysis of IPOs and the market performance of similar companies in the biotechnology industry.</w:t>
            </w:r>
          </w:p>
        </w:tc>
      </w:tr>
    </w:tbl>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Significant changes to the key assumptions underlying the factors used could have resulted in different fair values of common stock at each valuation date.</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Comprehensive Loss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 is defined as the change in equity of a business enterprise during a period from transactions and other events and circumstances from non-owner sources. For the years ended December 31, 2020 and 2019, the Company had unrealized gains and foreign exchange translation adjustments, which were a component of comprehensive loss.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Stock-Based Compensation</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 expense, including grants of stock options and restricted stock awards issued under the Company’s equity incentive plan, is measured at the grant date based on the fair value of the awards and is recognized as an expense on a straight-line basis over the requisite service period, which is generally the vesting period. The Company’s determination of the fair value of stock options with time-based vesting utilizes the Black-Scholes option-pricing model. The Company estimates volatility using stock prices of peer companies,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stock option grants. Under the simplified method, the expected term is estimated to be the mid-point between the vesting date and the contractual term of the option. The fair value of each stock option grant is calculated based upon the Company’s common stock valuation on the date of the grant. The Company accounts for forfeitures of stock option grants as they occur.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130</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Net Loss Per Common Share</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follows the two-class method when computing net income (loss) per share of common stock as the Company has issued shares that meet the definition of participating securities. The two-class method determines net income (loss) per common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net income (loss) per common share is computed by dividing the net income (loss) per common share by the weighted average number of common shares outstanding for the period. Diluted net income (loss) per common share is computed by adjusting net income (loss) to reallocate undistributed earnings based on the potential impact of dilutive securities. Diluted net loss per common share is computed by dividing the diluted net loss by the weighted average number of common shares outstanding for the period, including potential dilutive common shares. For purposes of this calculation, outstanding stock options and convertible preferred stock are considered potential dilutive common shares.</w:t>
      </w:r>
    </w:p>
    <w:p>
      <w:pPr>
        <w:pStyle w:val="TextBody"/>
        <w:spacing w:before="24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Company’s convertible preferred stock outstanding prior to the IPO contractually entitles the holders of such shares to participate in dividends but do not contractually require the holders of such shares to participate in losses of the Company. Accordingly, in periods in which the Company reports a net loss, such losses are not allocated to such securities. In periods in which the Company reports a net loss, diluted net loss per common share is the same as basic net loss per common share, since dilutive common shares are not assumed to have been issued if their effect is anti-dilutive. The Company reported a net loss for the years ended December 31, 2020 and 2019.</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Loans Payable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elected to record certain loans payable at fair value on the date of issuance, with gains and losses arising from changes in fair value recognized in the statements of operations at each period end while such loans payable are outstanding. Issuance costs are recognized in the statement of operations in the period in which they are incurred. The fair value of the loans payable was determined using a probability weighted expected return method (PWERM), a scenario-based valuation model in which discrete future outcome scenarios for the Company are projected and discounted to present value.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Revenue Recognition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January 2017, the Company early adopted Accounting Standard Update (ASU) 2014-09, </w:t>
      </w:r>
      <w:r>
        <w:rPr>
          <w:rFonts w:ascii="Times New Roman" w:hAnsi="Times New Roman"/>
          <w:b w:val="false"/>
          <w:i/>
          <w:caps w:val="false"/>
          <w:smallCaps w:val="false"/>
          <w:sz w:val="20"/>
        </w:rPr>
        <w:t>Revenue from Contracts with Customers (Topic 606),</w:t>
      </w:r>
      <w:r>
        <w:rPr>
          <w:rFonts w:ascii="Times New Roman" w:hAnsi="Times New Roman"/>
          <w:b w:val="false"/>
          <w:i w:val="false"/>
          <w:caps w:val="false"/>
          <w:smallCaps w:val="false"/>
          <w:sz w:val="20"/>
        </w:rPr>
        <w:t xml:space="preserve"> on a modified retrospective basis. Topic 606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Additionally, the standard requires disclosures regarding the nature, amount, timing and uncertainty of revenue and cash flows arising from contracts with customers. 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enters into corporate collaborations under which it may obtain upfront license fees, research and development funding, and development, regulatory and commercial milestone payments and royalty payments. The Company’s performance obligations under these arrangements may include licenses of intellectual property,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131</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distribution rights, research and development services, delivery of manufactured product and/or participation on joint steering committees.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Licenses of intellectual property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the license to the Company’s intellectual property is determined to be distinct from the other performance 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judgement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Milestone payments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 the inception of each arrangement that includes development, regulatory or commercial milestone payments, the Company evaluates whether the milestones are considered probable of being reached and estimates the amount to be included in the transaction price. Topic 606 suggests two alternatives to use when estimating the amount of variable consideration: the expected value method and the most likely amount method. Under the expected value method, an entity considers the sum of probability-weighted amounts in a range of possible consideration amounts. Under the most likely amount method, an entity considers the single most likely amount in a range of possible consideration amounts. Whichever method is used, it should be consistently applied throughout the life of the contract; however, it is not necessary for the Company to use the same approach for all contracts. The Company expects to use the most likely amount method for development and regulatory milestone payments. If it is probable that a significant revenue reversal would not occur, the associated milestone value is included in the transaction price. Milestone payments that are not within the Company’s or the licensee’s control, such as regulatory approvals, are not considered probable of being achieved until those approvals are received. The transaction price is then allocated to each performance obligation on a relative stand-alone selling price basis. The Company recognizes revenue as or when the performance obligations under the contract are satisfied. At the end of each subsequent reporting period, the Company re-evaluates the probability or achievement of each such milestone and any related constraint, and if necessary, adjusts its estimates of the overall transaction price. Any such adjustments are recorded on a cumulative catch-up basis, which would affect revenues and earnings in the period of adjustment.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Commercial milestones and royalties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arrangements that include sales-based royalties, including milestone payments based on the level of sales, and in which the license is deemed to be the predominant item to which the royalties relate, the Company recognizes revenue when the related sales occur. To date, the Company has not recognized any royalty revenue resulting from its collaboration arrangements.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Upfront payments and fees are recorded as deferred revenue upon receipt or when due and may require deferral of revenue recognition to a future period until the Company performs its obligations under these arrangements. Amounts payable to the Company are recorded as accounts receivable when the Company’s right to consideration is unconditional.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Deferred Offering Costs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capitalizes certain legal, professional accounting and other third-party fees that are directly associated with in-process equity financings as deferred offering costs until such financings are consummated.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After consummation of the equity financing, these costs are recorded as a reduction to the carrying value of stockholders’ deficit as a reduction of additional paid-in capital or equity generated as a result of such offering. Should an in-process equity financing be abandoned, the deferred offering costs will be expensed immediately as a charge to operating expenses in the consolidated statements of operations and comprehensive loss.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132</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0" w:after="0"/>
        <w:rPr/>
      </w:pPr>
      <w:r>
        <w:rPr/>
        <w:t> </w:t>
      </w:r>
    </w:p>
    <w:p>
      <w:pPr>
        <w:pStyle w:val="TextBody"/>
        <w:shd w:fill="FFFFFF" w:val="clear"/>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Recent Accounting Pronouncements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From time to time, new accounting pronouncements are issued by the FASB or other standard setting bodies. The Company is an emerging growth company as defined in the Jumpstart Our Business Startups Act of 2012, as amended (JOBS Act). Under the JOBS Act, emerging growth companies have extended transition periods available for complying with new or revised accounting standards. The Company has elected to use this exemption to delay adopting new or revised accounting standards until such time as those standards apply to private companies. Where allowable, the Company has early adopted certain standards as described below.</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Recently Adopted Accounting Pronouncements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December 2019, the FASB issued ASU 2019-12, </w:t>
      </w:r>
      <w:r>
        <w:rPr>
          <w:rFonts w:ascii="Times New Roman" w:hAnsi="Times New Roman"/>
          <w:b w:val="false"/>
          <w:i/>
          <w:caps w:val="false"/>
          <w:smallCaps w:val="false"/>
          <w:color w:val="000000"/>
          <w:sz w:val="20"/>
        </w:rPr>
        <w:t>Income Taxes (Topic 740): Simplifying the Accounting for Income Taxes</w:t>
      </w:r>
      <w:r>
        <w:rPr>
          <w:rFonts w:ascii="Times New Roman" w:hAnsi="Times New Roman"/>
          <w:b w:val="false"/>
          <w:i w:val="false"/>
          <w:caps w:val="false"/>
          <w:smallCaps w:val="false"/>
          <w:color w:val="000000"/>
          <w:sz w:val="20"/>
        </w:rPr>
        <w:t> (ASU 2019-12), which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Company early adopted ASU 2019-12 effective January 2019. ASU 2019-12 removes the exception to the incremental approach for intra-period tax allocation in the event of a loss from continuing operations and income or gain from other items such as other comprehensive income. The exception previously resulted in allocating a tax benefit to continuing operations and tax expense to other items, even when tax expense may have been zero. Under the simplification, no tax expense or benefit will be recorded to continuing operations. There is no impact on the Company’s financial statements for this amendment under ASU 2019-12. The other provisions within ASU 2019-12 are not applicable to the Company.</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2018, the FASB issued ASU 2018-13, </w:t>
      </w:r>
      <w:r>
        <w:rPr>
          <w:rFonts w:ascii="Times New Roman" w:hAnsi="Times New Roman"/>
          <w:b w:val="false"/>
          <w:i/>
          <w:caps w:val="false"/>
          <w:smallCaps w:val="false"/>
          <w:color w:val="000000"/>
          <w:sz w:val="20"/>
        </w:rPr>
        <w:t>Fair Value Measurement (Topic 820)—Changes to the Disclosure Requirements for Fair Value Measurement </w:t>
      </w:r>
      <w:r>
        <w:rPr>
          <w:rFonts w:ascii="Times New Roman" w:hAnsi="Times New Roman"/>
          <w:b w:val="false"/>
          <w:i w:val="false"/>
          <w:caps w:val="false"/>
          <w:smallCaps w:val="false"/>
          <w:color w:val="000000"/>
          <w:sz w:val="20"/>
        </w:rPr>
        <w:t>(ASU 2018-13), which removed the following disclosure requirements: (1) the amount of and reasons 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Company early adopted ASU 2018-13 in January 2019. For the new disclosures regarding the Company’s Level 3 fair value measurements, (see Note 6, Fair Value).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July 2017, the FASB issued ASU 2017-11, </w:t>
      </w:r>
      <w:r>
        <w:rPr>
          <w:rFonts w:ascii="Times New Roman" w:hAnsi="Times New Roman"/>
          <w:b w:val="false"/>
          <w:i/>
          <w:caps w:val="false"/>
          <w:smallCaps w:val="false"/>
          <w:color w:val="000000"/>
          <w:sz w:val="20"/>
        </w:rPr>
        <w:t>Earnings Per Share (Topic 260),</w:t>
      </w:r>
      <w:r>
        <w:rPr>
          <w:rFonts w:ascii="Times New Roman" w:hAnsi="Times New Roman"/>
          <w:b w:val="false"/>
          <w:i w:val="false"/>
          <w:caps w:val="false"/>
          <w:smallCaps w:val="false"/>
          <w:color w:val="000000"/>
          <w:sz w:val="20"/>
        </w:rPr>
        <w:t> </w:t>
      </w:r>
      <w:r>
        <w:rPr>
          <w:rFonts w:ascii="Times New Roman" w:hAnsi="Times New Roman"/>
          <w:b w:val="false"/>
          <w:i/>
          <w:caps w:val="false"/>
          <w:smallCaps w:val="false"/>
          <w:color w:val="000000"/>
          <w:sz w:val="20"/>
        </w:rPr>
        <w:t>Distinguishing Liabilities from Equity</w:t>
      </w:r>
      <w:r>
        <w:rPr>
          <w:rFonts w:ascii="Times New Roman" w:hAnsi="Times New Roman"/>
          <w:b w:val="false"/>
          <w:i w:val="false"/>
          <w:caps w:val="false"/>
          <w:smallCaps w:val="false"/>
          <w:color w:val="000000"/>
          <w:sz w:val="20"/>
        </w:rPr>
        <w:t> </w:t>
      </w:r>
      <w:r>
        <w:rPr>
          <w:rFonts w:ascii="Times New Roman" w:hAnsi="Times New Roman"/>
          <w:b w:val="false"/>
          <w:i/>
          <w:caps w:val="false"/>
          <w:smallCaps w:val="false"/>
          <w:color w:val="000000"/>
          <w:sz w:val="20"/>
        </w:rPr>
        <w:t>(Topic 480), Derivatives and Hedging (Topic 815) </w:t>
      </w:r>
      <w:r>
        <w:rPr>
          <w:rFonts w:ascii="Times New Roman" w:hAnsi="Times New Roman"/>
          <w:b w:val="false"/>
          <w:i w:val="false"/>
          <w:caps w:val="false"/>
          <w:smallCaps w:val="false"/>
          <w:color w:val="000000"/>
          <w:sz w:val="20"/>
        </w:rPr>
        <w:t>(ASU 2017-11). Part I to ASU 2017-11 eliminates the requirement to consider “down round” features when determining whether certain equity-linked financial instruments or embedded features are indexed to an entity’s own stock. In addition, entities have to make new disclosures for financial instruments with down round features and other terms that change conversion or exercise prices. Part I to ASU 2017-11 was effective for fiscal years beginning after December 31, 2018. The amendments in Part II of ASU 2017-11 do not have an effective date because the amendments do not have an accounting effect. The Company adopted ASU 2017-11 in January 2019 with no material impact on its consolidated financial statements.</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May 2014, the FASB issued ASU 2014-09, </w:t>
      </w:r>
      <w:r>
        <w:rPr>
          <w:rFonts w:ascii="Times New Roman" w:hAnsi="Times New Roman"/>
          <w:b w:val="false"/>
          <w:i/>
          <w:caps w:val="false"/>
          <w:smallCaps w:val="false"/>
          <w:color w:val="000000"/>
          <w:sz w:val="20"/>
        </w:rPr>
        <w:t>Revenue from Contracts with Customers (Topic 606), </w:t>
      </w:r>
      <w:r>
        <w:rPr>
          <w:rFonts w:ascii="Times New Roman" w:hAnsi="Times New Roman"/>
          <w:b w:val="false"/>
          <w:i w:val="false"/>
          <w:caps w:val="false"/>
          <w:smallCaps w:val="false"/>
          <w:color w:val="000000"/>
          <w:sz w:val="20"/>
        </w:rPr>
        <w:t xml:space="preserve">(ASU 2014-09), which amended the existing FASB Accounting Standards Codification. ASU 2014-09 supersedes the revenue recognition requirements in Revenue Recognition (Topic 605) and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Additionally, the standard requires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133</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disclosures regarding the nature, amount, timing and uncertainty of revenue and cash flows arising from contracts with customers.</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ASU 2014-09, as amended, is effective for fiscal 2019, including interim periods within that reporting period. The standard allows for two different methods of adoption. The full retrospective method allows the amendment to be applied retrospectively to each prior period presented, and the modified retrospective method allows the amendment to be applied with the cumulative effect recognized as of the date of initial application. The Company early adopted this standard in January 2017 and the adoption had no impact on the Company’s consolidated financial statements as the Company does not currently have any revenue-generating arrangements.</w:t>
      </w:r>
    </w:p>
    <w:p>
      <w:pPr>
        <w:pStyle w:val="TextBody"/>
        <w:shd w:fill="FFFFFF" w:val="clear"/>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Recently Issued Accounting Pronouncements Not Yet Adopted</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February 2016, the FASB issued ASU 2016-02, </w:t>
      </w:r>
      <w:r>
        <w:rPr>
          <w:rFonts w:ascii="Times New Roman" w:hAnsi="Times New Roman"/>
          <w:b w:val="false"/>
          <w:i/>
          <w:caps w:val="false"/>
          <w:smallCaps w:val="false"/>
          <w:color w:val="000000"/>
          <w:sz w:val="20"/>
        </w:rPr>
        <w:t>Leases (Topic 842)</w:t>
      </w:r>
      <w:r>
        <w:rPr>
          <w:rFonts w:ascii="Times New Roman" w:hAnsi="Times New Roman"/>
          <w:b w:val="false"/>
          <w:i w:val="false"/>
          <w:caps w:val="false"/>
          <w:smallCaps w:val="false"/>
          <w:color w:val="000000"/>
          <w:sz w:val="20"/>
        </w:rPr>
        <w:t>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non-public entities, ASU 2016-02 is effective for annual reporting periods beginning after December 15, 2020, including interim periods within those fiscal years, and early adoption is permitted. For private entities, ASU 2016-02 is effective for annual reporting periods beginning after December 15, 2021, including interim periods within those fiscal years, Under the JOBS Act, emerging growth companies have extended transition periods available for complying with new or revised accounting standards. The Company has elected to use this exemption to delay adopting ASU 2016-02 until such time as those standards apply to private companies. The Company is in the process of completing its review of its existing lease agreements under Topic 842 and does not expect the adoption of ASU 2016-02 to have a material impact on its financial position, results of operations or cash flows.</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June 2016, the FASB issued ASU 2016-13, </w:t>
      </w:r>
      <w:r>
        <w:rPr>
          <w:rFonts w:ascii="Times New Roman" w:hAnsi="Times New Roman"/>
          <w:b w:val="false"/>
          <w:i/>
          <w:caps w:val="false"/>
          <w:smallCaps w:val="false"/>
          <w:color w:val="000000"/>
          <w:sz w:val="20"/>
        </w:rPr>
        <w:t>Financial Instruments-Credit Losses (Topic 326): Measurement of Credit Losses on Financial Instruments</w:t>
      </w:r>
      <w:r>
        <w:rPr>
          <w:rFonts w:ascii="Times New Roman" w:hAnsi="Times New Roman"/>
          <w:b w:val="false"/>
          <w:i w:val="false"/>
          <w:caps w:val="false"/>
          <w:smallCaps w:val="false"/>
          <w:color w:val="000000"/>
          <w:sz w:val="20"/>
        </w:rPr>
        <w:t xml:space="preserve"> (ASU 2016-13), which requires the measurement and recognition of expected credit losses for financial assets held at amortized cost. ASU 2016-13 replaces the existing incurred loss impairment model with an expected loss methodology, which will result in more timely recognition of credit losses. ASU 2016-13 is effective for annual private company reporting periods, and interim periods within those years, beginning after December 15, 2023. The Company is currently in the process of evaluating the impact of the adoption of ASU 2016-13 on its consolidated financial statements. </w:t>
      </w:r>
    </w:p>
    <w:tbl>
      <w:tblPr>
        <w:tblW w:w="2095" w:type="dxa"/>
        <w:jc w:val="left"/>
        <w:tblInd w:w="0" w:type="dxa"/>
        <w:tblCellMar>
          <w:top w:w="0" w:type="dxa"/>
          <w:left w:w="0" w:type="dxa"/>
          <w:bottom w:w="0" w:type="dxa"/>
          <w:right w:w="0" w:type="dxa"/>
        </w:tblCellMar>
      </w:tblPr>
      <w:tblGrid>
        <w:gridCol w:w="170"/>
        <w:gridCol w:w="1925"/>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3.</w:t>
            </w:r>
          </w:p>
        </w:tc>
        <w:tc>
          <w:tcPr>
            <w:tcW w:w="192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Marketable Securities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Marketable securities consist of the following: </w:t>
      </w:r>
    </w:p>
    <w:p>
      <w:pPr>
        <w:pStyle w:val="TextBody"/>
        <w:spacing w:before="0" w:after="0"/>
        <w:rPr/>
      </w:pPr>
      <w:r>
        <w:rPr/>
        <w:t> </w:t>
      </w:r>
    </w:p>
    <w:tbl>
      <w:tblPr>
        <w:tblW w:w="5685" w:type="dxa"/>
        <w:jc w:val="center"/>
        <w:tblInd w:w="0" w:type="dxa"/>
        <w:tblCellMar>
          <w:top w:w="0" w:type="dxa"/>
          <w:left w:w="0" w:type="dxa"/>
          <w:bottom w:w="28" w:type="dxa"/>
          <w:right w:w="0" w:type="dxa"/>
        </w:tblCellMar>
      </w:tblPr>
      <w:tblGrid>
        <w:gridCol w:w="2210"/>
        <w:gridCol w:w="60"/>
        <w:gridCol w:w="160"/>
        <w:gridCol w:w="625"/>
        <w:gridCol w:w="60"/>
        <w:gridCol w:w="60"/>
        <w:gridCol w:w="400"/>
        <w:gridCol w:w="400"/>
        <w:gridCol w:w="60"/>
        <w:gridCol w:w="60"/>
        <w:gridCol w:w="259"/>
        <w:gridCol w:w="541"/>
        <w:gridCol w:w="60"/>
        <w:gridCol w:w="60"/>
        <w:gridCol w:w="125"/>
        <w:gridCol w:w="485"/>
        <w:gridCol w:w="60"/>
      </w:tblGrid>
      <w:tr>
        <w:trPr/>
        <w:tc>
          <w:tcPr>
            <w:tcW w:w="221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5"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Gains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3,498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Equity securities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marketable securities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5,598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5,600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did not have any marketable securities for the year ended December 31, 2020.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134</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tbl>
      <w:tblPr>
        <w:tblW w:w="3910" w:type="dxa"/>
        <w:jc w:val="left"/>
        <w:tblInd w:w="0" w:type="dxa"/>
        <w:tblCellMar>
          <w:top w:w="0" w:type="dxa"/>
          <w:left w:w="0" w:type="dxa"/>
          <w:bottom w:w="0" w:type="dxa"/>
          <w:right w:w="0" w:type="dxa"/>
        </w:tblCellMar>
      </w:tblPr>
      <w:tblGrid>
        <w:gridCol w:w="170"/>
        <w:gridCol w:w="3740"/>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4.</w:t>
            </w:r>
          </w:p>
        </w:tc>
        <w:tc>
          <w:tcPr>
            <w:tcW w:w="374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Prepaid Expenses and Other Current Assets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Prepaid expenses and other current assets consisted of the following: </w:t>
      </w:r>
    </w:p>
    <w:p>
      <w:pPr>
        <w:pStyle w:val="TextBody"/>
        <w:spacing w:before="0" w:after="0"/>
        <w:rPr/>
      </w:pPr>
      <w:r>
        <w:rPr/>
        <w:t> </w:t>
      </w:r>
    </w:p>
    <w:tbl>
      <w:tblPr>
        <w:tblW w:w="5290" w:type="dxa"/>
        <w:jc w:val="center"/>
        <w:tblInd w:w="0" w:type="dxa"/>
        <w:tblCellMar>
          <w:top w:w="0" w:type="dxa"/>
          <w:left w:w="0" w:type="dxa"/>
          <w:bottom w:w="28" w:type="dxa"/>
          <w:right w:w="0" w:type="dxa"/>
        </w:tblCellMar>
      </w:tblPr>
      <w:tblGrid>
        <w:gridCol w:w="3830"/>
        <w:gridCol w:w="60"/>
        <w:gridCol w:w="125"/>
        <w:gridCol w:w="485"/>
        <w:gridCol w:w="60"/>
        <w:gridCol w:w="60"/>
        <w:gridCol w:w="125"/>
        <w:gridCol w:w="485"/>
        <w:gridCol w:w="60"/>
      </w:tblGrid>
      <w:tr>
        <w:trPr/>
        <w:tc>
          <w:tcPr>
            <w:tcW w:w="383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research and development costs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assets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prepaid expenses and other current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2680" w:type="dxa"/>
        <w:jc w:val="left"/>
        <w:tblInd w:w="0" w:type="dxa"/>
        <w:tblCellMar>
          <w:top w:w="0" w:type="dxa"/>
          <w:left w:w="0" w:type="dxa"/>
          <w:bottom w:w="0" w:type="dxa"/>
          <w:right w:w="0" w:type="dxa"/>
        </w:tblCellMar>
      </w:tblPr>
      <w:tblGrid>
        <w:gridCol w:w="170"/>
        <w:gridCol w:w="2510"/>
      </w:tblGrid>
      <w:tr>
        <w:trPr/>
        <w:tc>
          <w:tcPr>
            <w:tcW w:w="170" w:type="dxa"/>
            <w:tcBorders/>
            <w:shd w:fill="auto" w:val="clear"/>
          </w:tcPr>
          <w:p>
            <w:pPr>
              <w:pStyle w:val="TableContents"/>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5.</w:t>
            </w:r>
          </w:p>
        </w:tc>
        <w:tc>
          <w:tcPr>
            <w:tcW w:w="2510" w:type="dxa"/>
            <w:tcBorders/>
            <w:shd w:fill="auto" w:val="clear"/>
          </w:tcPr>
          <w:p>
            <w:pPr>
              <w:pStyle w:val="TableContents"/>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Property and Equipment, net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Property and equipment, net consisted of the following:</w:t>
      </w:r>
    </w:p>
    <w:p>
      <w:pPr>
        <w:pStyle w:val="TextBody"/>
        <w:spacing w:before="0" w:after="0"/>
        <w:jc w:val="both"/>
        <w:rPr/>
      </w:pPr>
      <w:r>
        <w:rPr/>
        <w:t> </w:t>
      </w:r>
    </w:p>
    <w:tbl>
      <w:tblPr>
        <w:tblW w:w="4295" w:type="dxa"/>
        <w:jc w:val="center"/>
        <w:tblInd w:w="0" w:type="dxa"/>
        <w:tblCellMar>
          <w:top w:w="0" w:type="dxa"/>
          <w:left w:w="0" w:type="dxa"/>
          <w:bottom w:w="28" w:type="dxa"/>
          <w:right w:w="0" w:type="dxa"/>
        </w:tblCellMar>
      </w:tblPr>
      <w:tblGrid>
        <w:gridCol w:w="2795"/>
        <w:gridCol w:w="60"/>
        <w:gridCol w:w="125"/>
        <w:gridCol w:w="485"/>
        <w:gridCol w:w="80"/>
        <w:gridCol w:w="60"/>
        <w:gridCol w:w="125"/>
        <w:gridCol w:w="485"/>
        <w:gridCol w:w="80"/>
      </w:tblGrid>
      <w:tr>
        <w:trPr/>
        <w:tc>
          <w:tcPr>
            <w:tcW w:w="279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Leasehold improvements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and fixtures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 equipment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Office equipment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Lab equipment</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gross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depreciation</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9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and equipment, net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recognized depreciation expense related to these assets of $0.4 million and $0.2 million during the years ended December 31, 2020 and 2019, respectively.</w:t>
      </w:r>
    </w:p>
    <w:tbl>
      <w:tblPr>
        <w:tblW w:w="1150" w:type="dxa"/>
        <w:jc w:val="left"/>
        <w:tblInd w:w="0" w:type="dxa"/>
        <w:tblCellMar>
          <w:top w:w="0" w:type="dxa"/>
          <w:left w:w="0" w:type="dxa"/>
          <w:bottom w:w="0" w:type="dxa"/>
          <w:right w:w="0" w:type="dxa"/>
        </w:tblCellMar>
      </w:tblPr>
      <w:tblGrid>
        <w:gridCol w:w="170"/>
        <w:gridCol w:w="980"/>
      </w:tblGrid>
      <w:tr>
        <w:trPr/>
        <w:tc>
          <w:tcPr>
            <w:tcW w:w="170"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6.</w:t>
            </w:r>
          </w:p>
        </w:tc>
        <w:tc>
          <w:tcPr>
            <w:tcW w:w="980"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Fair Value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tables present information about the Company’s financial assets and liabilities measured at fair value on a recurring basis: </w:t>
      </w:r>
    </w:p>
    <w:p>
      <w:pPr>
        <w:pStyle w:val="TextBody"/>
        <w:spacing w:before="0" w:after="0"/>
        <w:jc w:val="both"/>
        <w:rPr/>
      </w:pPr>
      <w:r>
        <w:rPr/>
        <w:t> </w:t>
      </w:r>
    </w:p>
    <w:tbl>
      <w:tblPr>
        <w:tblW w:w="5334" w:type="dxa"/>
        <w:jc w:val="center"/>
        <w:tblInd w:w="0" w:type="dxa"/>
        <w:tblCellMar>
          <w:top w:w="0" w:type="dxa"/>
          <w:left w:w="0" w:type="dxa"/>
          <w:bottom w:w="28" w:type="dxa"/>
          <w:right w:w="0" w:type="dxa"/>
        </w:tblCellMar>
      </w:tblPr>
      <w:tblGrid>
        <w:gridCol w:w="2165"/>
        <w:gridCol w:w="60"/>
        <w:gridCol w:w="125"/>
        <w:gridCol w:w="590"/>
        <w:gridCol w:w="60"/>
        <w:gridCol w:w="60"/>
        <w:gridCol w:w="176"/>
        <w:gridCol w:w="368"/>
        <w:gridCol w:w="60"/>
        <w:gridCol w:w="60"/>
        <w:gridCol w:w="125"/>
        <w:gridCol w:w="590"/>
        <w:gridCol w:w="60"/>
        <w:gridCol w:w="60"/>
        <w:gridCol w:w="125"/>
        <w:gridCol w:w="590"/>
        <w:gridCol w:w="60"/>
      </w:tblGrid>
      <w:tr>
        <w:trPr/>
        <w:tc>
          <w:tcPr>
            <w:tcW w:w="21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9"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74,854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74,854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74,854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74,854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Liabilities: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Loans payable</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12,880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12,880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12,880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12,880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tbl>
      <w:tblPr>
        <w:tblW w:w="6684" w:type="dxa"/>
        <w:jc w:val="center"/>
        <w:tblInd w:w="0" w:type="dxa"/>
        <w:tblCellMar>
          <w:top w:w="0" w:type="dxa"/>
          <w:left w:w="0" w:type="dxa"/>
          <w:bottom w:w="28" w:type="dxa"/>
          <w:right w:w="0" w:type="dxa"/>
        </w:tblCellMar>
      </w:tblPr>
      <w:tblGrid>
        <w:gridCol w:w="3620"/>
        <w:gridCol w:w="60"/>
        <w:gridCol w:w="125"/>
        <w:gridCol w:w="590"/>
        <w:gridCol w:w="60"/>
        <w:gridCol w:w="60"/>
        <w:gridCol w:w="125"/>
        <w:gridCol w:w="485"/>
        <w:gridCol w:w="60"/>
        <w:gridCol w:w="60"/>
        <w:gridCol w:w="176"/>
        <w:gridCol w:w="368"/>
        <w:gridCol w:w="60"/>
        <w:gridCol w:w="60"/>
        <w:gridCol w:w="125"/>
        <w:gridCol w:w="590"/>
        <w:gridCol w:w="60"/>
      </w:tblGrid>
      <w:tr>
        <w:trPr/>
        <w:tc>
          <w:tcPr>
            <w:tcW w:w="362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4"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12,327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12,327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investments—structured deposits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17,927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19,650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years ended December 31, 2020 and 2019, there were no transfers between Level 1, Level 2 and Level 3. </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135</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tbl>
      <w:tblPr>
        <w:tblW w:w="4300" w:type="dxa"/>
        <w:jc w:val="left"/>
        <w:tblInd w:w="0" w:type="dxa"/>
        <w:tblCellMar>
          <w:top w:w="0" w:type="dxa"/>
          <w:left w:w="0" w:type="dxa"/>
          <w:bottom w:w="0" w:type="dxa"/>
          <w:right w:w="0" w:type="dxa"/>
        </w:tblCellMar>
      </w:tblPr>
      <w:tblGrid>
        <w:gridCol w:w="170"/>
        <w:gridCol w:w="4130"/>
      </w:tblGrid>
      <w:tr>
        <w:trPr/>
        <w:tc>
          <w:tcPr>
            <w:tcW w:w="170" w:type="dxa"/>
            <w:tcBorders/>
            <w:shd w:fill="auto" w:val="clear"/>
          </w:tcPr>
          <w:p>
            <w:pPr>
              <w:pStyle w:val="TableContents"/>
              <w:spacing w:before="1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r>
              <w:rPr>
                <w:rFonts w:ascii="Times New Roman" w:hAnsi="Times New Roman"/>
                <w:b/>
                <w:i w:val="false"/>
                <w:caps w:val="false"/>
                <w:smallCaps w:val="false"/>
                <w:sz w:val="20"/>
              </w:rPr>
              <w:t>.</w:t>
            </w:r>
          </w:p>
        </w:tc>
        <w:tc>
          <w:tcPr>
            <w:tcW w:w="4130" w:type="dxa"/>
            <w:tcBorders/>
            <w:shd w:fill="auto" w:val="clear"/>
          </w:tcPr>
          <w:p>
            <w:pPr>
              <w:pStyle w:val="TableContents"/>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Accrued Expenses and Other Current Liabilities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Accrued expenses and other current liabilities included the following: </w:t>
      </w:r>
    </w:p>
    <w:p>
      <w:pPr>
        <w:pStyle w:val="TextBody"/>
        <w:spacing w:before="0" w:after="0"/>
        <w:jc w:val="both"/>
        <w:rPr/>
      </w:pPr>
      <w:r>
        <w:rPr/>
        <w:t> </w:t>
      </w:r>
    </w:p>
    <w:tbl>
      <w:tblPr>
        <w:tblW w:w="5620" w:type="dxa"/>
        <w:jc w:val="center"/>
        <w:tblInd w:w="0" w:type="dxa"/>
        <w:tblCellMar>
          <w:top w:w="0" w:type="dxa"/>
          <w:left w:w="0" w:type="dxa"/>
          <w:bottom w:w="28" w:type="dxa"/>
          <w:right w:w="0" w:type="dxa"/>
        </w:tblCellMar>
      </w:tblPr>
      <w:tblGrid>
        <w:gridCol w:w="4160"/>
        <w:gridCol w:w="60"/>
        <w:gridCol w:w="125"/>
        <w:gridCol w:w="485"/>
        <w:gridCol w:w="60"/>
        <w:gridCol w:w="60"/>
        <w:gridCol w:w="125"/>
        <w:gridCol w:w="485"/>
        <w:gridCol w:w="60"/>
      </w:tblGrid>
      <w:tr>
        <w:trPr/>
        <w:tc>
          <w:tcPr>
            <w:tcW w:w="416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costs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professional fees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development milestone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Compensation and benefit costs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Refundable contract liability</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expenses and other current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rPr/>
      </w:pPr>
      <w:r>
        <w:rPr/>
        <w:t> </w:t>
      </w:r>
    </w:p>
    <w:tbl>
      <w:tblPr>
        <w:tblW w:w="1495" w:type="dxa"/>
        <w:jc w:val="left"/>
        <w:tblInd w:w="0" w:type="dxa"/>
        <w:tblCellMar>
          <w:top w:w="0" w:type="dxa"/>
          <w:left w:w="0" w:type="dxa"/>
          <w:bottom w:w="0" w:type="dxa"/>
          <w:right w:w="0" w:type="dxa"/>
        </w:tblCellMar>
      </w:tblPr>
      <w:tblGrid>
        <w:gridCol w:w="170"/>
        <w:gridCol w:w="1325"/>
      </w:tblGrid>
      <w:tr>
        <w:trPr/>
        <w:tc>
          <w:tcPr>
            <w:tcW w:w="170" w:type="dxa"/>
            <w:tcBorders/>
            <w:shd w:fill="auto" w:val="clear"/>
          </w:tcPr>
          <w:p>
            <w:pPr>
              <w:pStyle w:val="TableContents"/>
              <w:spacing w:before="40" w:after="0"/>
              <w:rPr>
                <w:rFonts w:ascii="Times New Roman" w:hAnsi="Times New Roman"/>
                <w:b/>
                <w:i w:val="false"/>
                <w:caps w:val="false"/>
                <w:smallCaps w:val="false"/>
                <w:sz w:val="20"/>
              </w:rPr>
            </w:pPr>
            <w:r>
              <w:rPr>
                <w:rFonts w:ascii="Times New Roman" w:hAnsi="Times New Roman"/>
                <w:b/>
                <w:i w:val="false"/>
                <w:caps w:val="false"/>
                <w:smallCaps w:val="false"/>
                <w:sz w:val="20"/>
              </w:rPr>
              <w:t>8.</w:t>
            </w:r>
          </w:p>
        </w:tc>
        <w:tc>
          <w:tcPr>
            <w:tcW w:w="1325" w:type="dxa"/>
            <w:tcBorders/>
            <w:shd w:fill="auto" w:val="clear"/>
          </w:tcPr>
          <w:p>
            <w:pPr>
              <w:pStyle w:val="TableContents"/>
              <w:spacing w:before="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Loans Payable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provides the loans payable reported at fair value and measured on a recurring basis:</w:t>
      </w:r>
    </w:p>
    <w:p>
      <w:pPr>
        <w:pStyle w:val="TextBody"/>
        <w:spacing w:before="0" w:after="0"/>
        <w:rPr/>
      </w:pPr>
      <w:r>
        <w:rPr/>
        <w:t> </w:t>
      </w:r>
    </w:p>
    <w:tbl>
      <w:tblPr>
        <w:tblW w:w="8400" w:type="dxa"/>
        <w:jc w:val="center"/>
        <w:tblInd w:w="0" w:type="dxa"/>
        <w:tblCellMar>
          <w:top w:w="0" w:type="dxa"/>
          <w:left w:w="0" w:type="dxa"/>
          <w:bottom w:w="28" w:type="dxa"/>
          <w:right w:w="0" w:type="dxa"/>
        </w:tblCellMar>
      </w:tblPr>
      <w:tblGrid>
        <w:gridCol w:w="7175"/>
        <w:gridCol w:w="60"/>
        <w:gridCol w:w="175"/>
        <w:gridCol w:w="910"/>
        <w:gridCol w:w="80"/>
      </w:tblGrid>
      <w:tr>
        <w:trPr/>
        <w:tc>
          <w:tcPr>
            <w:tcW w:w="717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Loans Payable</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2020 Notes and Bridge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repurchase payable for the LAV Option exercise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10,771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loans payable for conversion settlement of the Bridge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Conversion of 2020 convertible promissory notes to Series C 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(17,690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Conversion of Bridge Loan to Series C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7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loans payable and other adjustments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7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12,880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2020 Notes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May 2020, the Company issued convertible promissory notes (2020 Notes) in the aggregate amount of approximately $15.0 million. The 2020 Notes bear interest at a rate of 10.0% per annum, are unsecured, and are due and payable, including accrued interest, in May 2021.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of a qualified sale of equity securities resulting in gross proceeds to the Company of at least $22.5 million (excluding the principal amount and any interest accrued under the 2020 Notes), all principal and accrued and unpaid interest under the 2020 Notes would be automatically converted into shares issued in the next qualified equity financing in an amount equal to the outstanding principal and unpaid accrued interest divided by the price per share paid by investors in the next equity financing.</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connection with the Series C Convertible Preferred Stock Financing, the 2020 Notes, totaling unpaid principal and accrued interest of $15.9 million, converted into 1,366,820 shares of Series C convertible preferred stock based on the issuance price of $11.65 per share. Prior to the conversion, the fair value of the 2020 Notes was determined to be $17.7 million. The Company recorded the $1.8 million difference between the fair value of the 2020 Notes and the value of the preferred stock issued within Additional paid-in capital of</w:t>
      </w:r>
      <w:r>
        <w:rPr>
          <w:rFonts w:ascii="Times New Roman" w:hAnsi="Times New Roman"/>
          <w:b w:val="false"/>
          <w:i w:val="false"/>
          <w:caps w:val="false"/>
          <w:smallCaps w:val="false"/>
          <w:color w:val="000000"/>
          <w:sz w:val="20"/>
          <w:highlight w:val="white"/>
        </w:rPr>
        <w:t xml:space="preserve"> the accompanying Consolidated Balance Sheets.</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Bridge Loan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May 2020, the Company entered into a bridge loan with Terns China (Bridge Loan) for aggregate proceeds of $1.8 million, payable in renminbi (RMB) at an established USD/RMB exchange rate, based on an average of the previous five working days before May 8, 2020. The Bridge Loan bears interest at a rate of 10% per year, which began to accrue on the date of drawdown, and is computed based on the actual number of days elapsed based on a year of 365 days. The Bridge Loan holders has the same conversion rights as the 2020 Notes holders.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136</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connection with the closing of the Series C convertible preferred stock financing in December 2020, entities that are a part of LAV agreed to effectively convert the Bridge Loan into shares of Series C preferred stock on the same terms as the 2020 Notes. The conversion will be based on an outstanding loan balance equal to $1.9 million, consisting of (i) the principal loan amount ($1.8 million) plus (ii) accrued interest through December 29, 2020 ($0.1 million).</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 help facilitate the transfer of cash from China to the United States to effectively convert the Bridge Loan, the Company and Terns China agreed to enter into an agreement with LAV to (i) repay the Bridge Loan, and (ii) issue shares of Series C convertible preferred stock at the initial closing of the Series C financing to entities that are a part of Lilly Asia Ventures in exchange for a promissory note issued to the Company by LAV, or the LAV Affiliate Promissory Note.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December 29, 2020, the Bridge Loan was amended to clarify that (i) interest will accrue up to and through December 29, 2020, with no additional interest accruing after December 29, 2020 and (ii) the Bridge Loan will be repaid in full by the Company following the requisite government approvals in China. Proceeds from the repayment of the Bridge Loan by Terns China will be used by LAV to repay the LAV Affiliate Promissory Note in full.</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fair value of the Bridge Loan was determined to be $2.1 million as of December 31, 2020, which was based on an outstanding loan balance consisting of the principal loan amount plus accrued interest through December 29, 2020. The Bridge Loan was paid and the LAV Affiliate Promissory Note was received in March 2021.</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LAV Series A and Series B Promissory Notes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November 2020, the Chinese government provided approval for entities affiliated with LAV to exercise the LAV Option. Terns Hong Kong agreed to repurchase all equity interests held by the LAV PRC Entities with proceeds to be used by LAV to purchase shares of Series A convertible preferred stock and Series B convertible preferred stock of the Company (Repurchase).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December 2020, the Company issued 767,857 shares of Series A convertible preferred stock and 216,450 shares of Series B convertible preferred stock to an affiliate of LAV (LAV Affiliate) in exchange for a promissory note with a principal amount equal to the original investment by LAV in Terns China (LAV Series A and Series B Promissory Note). The carrying value of the LAV Series A and Series B Promissory Note approximates its fair value due to the short-term nature of the liability. The LAV Series A and Series B Promissory Note was repaid through proceeds of the Repurchase, which was completed in January 2021.</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Change in Fair Value of Loans Payable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fair value of the loans payable liability was determined based on significant inputs not observable in the market, which represents a Level 3 measurement within the fair value hierarchy. The fair value of the loans payable liability is remeasured at each reporting period, with changes in fair value recognized in the condensed consolidated statements of operations.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year, the Company used the PWERM method to value the loans payable. This approach involved the estimation of future potential outcomes for the Company, as well as values and probabilities associated with each respective potential outcome. The Company considered two scenarios (i) a 60% probability of an IPO in the near-term and (ii) a 40% probability of the Company remaining private for approximately 1.75 years following the date of the valuation. The Company considered these two scenarios to calculate the (i) future value of the loans payable under each scenario and (ii) the present value of the loans payable under each scenario. The value of the Company’s equity used to determine the appropriate allocation of value to the stockholders was calculated using different methodologies for each scenario. For the first scenario, the value of the Company’s equity was estimated based on the Company’s estimates, as well as recent IPO indications of comparable companies. For the second scenario, the value of the Company’s equity was estimated using the income approach, which focuses on the income-producing capability of a business and estimates value based on the expectation of future cash flows, which are then discounted to the present using a rate of return that incorporates the risk-free rate for the use of funds, the expected rate of inflation, and risks associated with the particular investment. Under each scenario, the rights and preferences of each share class were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137</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considered in order to determine the appropriate allocation of value to the common and preferred stockholders, as well as the loans payable. The value per common and preferred share, as well as the loans payable, under each scenario was multiplied by a present value factor, calculated based on the Company’s cost of equity and the expected timing of each scenario. After taking into consideration the PWERM of each scenario, the Company arrived at the fair value of the loans payable.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recorded other expense of $2.9 million related to the change in the fair value of loans payable for the year ended December 31, 2020. </w:t>
      </w:r>
    </w:p>
    <w:p>
      <w:pPr>
        <w:pStyle w:val="TextBody"/>
        <w:spacing w:before="0" w:after="0"/>
        <w:rPr/>
      </w:pPr>
      <w:r>
        <w:rPr/>
        <w:t> </w:t>
      </w:r>
    </w:p>
    <w:tbl>
      <w:tblPr>
        <w:tblW w:w="2620" w:type="dxa"/>
        <w:jc w:val="left"/>
        <w:tblInd w:w="0" w:type="dxa"/>
        <w:tblCellMar>
          <w:top w:w="0" w:type="dxa"/>
          <w:left w:w="0" w:type="dxa"/>
          <w:bottom w:w="0" w:type="dxa"/>
          <w:right w:w="0" w:type="dxa"/>
        </w:tblCellMar>
      </w:tblPr>
      <w:tblGrid>
        <w:gridCol w:w="170"/>
        <w:gridCol w:w="2450"/>
      </w:tblGrid>
      <w:tr>
        <w:trPr/>
        <w:tc>
          <w:tcPr>
            <w:tcW w:w="17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9.</w:t>
            </w:r>
          </w:p>
        </w:tc>
        <w:tc>
          <w:tcPr>
            <w:tcW w:w="245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Convertible Preferred Stock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shares of preferred stock described below were converted into 16,079,230 shares of the Company’s common stock at the time of the IPO in February 2021.</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Series A Preferred Stock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April 2017, the Company entered into a Series A convertible preferred stock purchase agreement (Series A Agreement) whereby the Company issued 2,089,285 shares of Series A convertible preferred stock at $10.50 per share for an aggregate purchase price of $21.9 million. The cash proceeds associated with the sale of the Series A convertible preferred stock were to be received by the Company over three tranches of payments. The Company received $7.3 million for tranche 1 in April 2017, $7.3 million for tranche 2 in February 2018 and $7.3 million for tranche 3 in July 2018.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Terns China received an aggregate $8.0 million from the LAV PRC Entities in three tranches over the same period, which is presented as a noncontrolling interest. In connection with the Series A Agreement and this Terns China investment, the Company also issued an option to the LAV PRC Entities to convert their interest in the China Subsidiaries into an interest in Terns Cayman (the LAV Option).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Series B Preferred Stock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October 2018, the Company entered into a Series B convertible preferred share purchase agreement (Series B Agreement), whereby the Company issued 2,384,195 shares of Series B convertible preferred stock at $30.80 per share for an aggregate purchase price of $73.4 million.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Terns China received $6.7 million from the LAV PRC Entities in connection with the Series B financing, which is presented as a noncontrolling interest. In connection with the Series B Agreement and this Terns China investment, the LAV Option was to allow the LAV PRC Entities to convert this interest in the China Subsidiaries into an interest in Terns Cayman.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LAV Series A and Series B Preferred Stock Options</w:t>
      </w:r>
    </w:p>
    <w:p>
      <w:pPr>
        <w:pStyle w:val="TextBody"/>
        <w:shd w:fill="FFFFFF" w:val="clear"/>
        <w:spacing w:before="120" w:after="0"/>
        <w:jc w:val="both"/>
        <w:rPr>
          <w:rFonts w:ascii="Times New Roman" w:hAnsi="Times New Roman"/>
          <w:b w:val="false"/>
          <w:i w:val="false"/>
          <w:caps w:val="false"/>
          <w:smallCaps w:val="false"/>
          <w:color w:val="000000"/>
          <w:sz w:val="20"/>
        </w:rPr>
      </w:pPr>
      <w:bookmarkStart w:id="46" w:name="_Hlk67049141"/>
      <w:bookmarkEnd w:id="46"/>
      <w:r>
        <w:rPr>
          <w:rFonts w:ascii="Times New Roman" w:hAnsi="Times New Roman"/>
          <w:b w:val="false"/>
          <w:i w:val="false"/>
          <w:caps w:val="false"/>
          <w:smallCaps w:val="false"/>
          <w:color w:val="000000"/>
          <w:sz w:val="20"/>
        </w:rPr>
        <w:t>In November 2020, the Chinese government provided approval for entities affiliated with Lilly Asia Ventures (LAV) to exercise the LAV Option. Terns Hong Kong agreed to repurchase all equity interests held by the LAV PRC Entities with proceeds to be used by LAV to purchase shares of Series A convertible preferred stock and Series B convertible preferred stock of the Company (Repurchase).</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December 2020, the Company issued 767,857 shares of Series A convertible preferred stock and 216,450 shares of Series B convertible preferred stock to an affiliate of LAV (LAV Affiliate) in exchange for a promissory note with a principal amount equal to the original investment by LAV in Terns China (LAV Series A and Series B Promissory Note). The LAV Series A and Series B Promissory Note was repaid through proceeds of the Repurchase which was completed in January 2021.</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138</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Series C Preferred Stock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December 2020, the Company entered into a Series C preferred stock purchase agreement (Series C Convertible Preferred Stock Financing) whereby it issued 7,500,665 shares of Series C convertible preferred stock at $11.65 per share for gross proceeds of $87.4 million, which includes shares issued upon conversion of the 2020 Notes.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Series C Convertible Preferred Stock Financing, the 2020 Notes, totaling unpaid principal and accrued interest of $15.9 million, converted into 1,366,820 shares of Series C convertible preferred stock. Furthermore, in December 2020, as part of the effective conversion of the Bridge Loan, the Company issued LAV an aggregate of 167,159 shares of Series C convertible preferred stock.</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Series C Convertible Preferred Stock Financing, a down-round adjustment was triggered for Series B convertible preferred stock. Instead of adjusting the conversion price of the Series B convertible preferred stock to $25.63, the Company and its investors agreed to adjust it to $30.80. This resulted in an extinguishment of all outstanding shares of Series B convertible preferred stock that were recorded at their fair value of $79.7 million. Immediately following the extinguishment, the shares of Series B convertible preferred stock were reissued and recorded at their fair value of $69.0 million. As part of the extinguishment, the Company recorded an increase to additional paid-in capital of $10.7 million, representing the difference between the extinguished carrying value of Series B convertible preferred stock and the fair value of the net consideration transferred to stockholders. The $10.7 million is also treated as an increase to earnings attributable to common stockholders in the calculation of net income (loss) per share.</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Series A convertible preferred stock, Series B convertible preferred stock and Series C convertible preferred stock are collectively referred to as “convertible preferred stock.” As of each balance sheet date, convertible preferred stock consisted of the following: </w:t>
      </w:r>
    </w:p>
    <w:p>
      <w:pPr>
        <w:pStyle w:val="TextBody"/>
        <w:spacing w:before="0" w:after="0"/>
        <w:rPr/>
      </w:pPr>
      <w:r>
        <w:rPr/>
        <w:t> </w:t>
      </w:r>
    </w:p>
    <w:tbl>
      <w:tblPr>
        <w:tblW w:w="8315" w:type="dxa"/>
        <w:jc w:val="center"/>
        <w:tblInd w:w="0" w:type="dxa"/>
        <w:tblCellMar>
          <w:top w:w="0" w:type="dxa"/>
          <w:left w:w="0" w:type="dxa"/>
          <w:bottom w:w="28" w:type="dxa"/>
          <w:right w:w="0" w:type="dxa"/>
        </w:tblCellMar>
      </w:tblPr>
      <w:tblGrid>
        <w:gridCol w:w="2900"/>
        <w:gridCol w:w="60"/>
        <w:gridCol w:w="60"/>
        <w:gridCol w:w="1055"/>
        <w:gridCol w:w="60"/>
        <w:gridCol w:w="60"/>
        <w:gridCol w:w="60"/>
        <w:gridCol w:w="950"/>
        <w:gridCol w:w="60"/>
        <w:gridCol w:w="60"/>
        <w:gridCol w:w="125"/>
        <w:gridCol w:w="695"/>
        <w:gridCol w:w="60"/>
        <w:gridCol w:w="60"/>
        <w:gridCol w:w="131"/>
        <w:gridCol w:w="729"/>
        <w:gridCol w:w="60"/>
        <w:gridCol w:w="60"/>
        <w:gridCol w:w="60"/>
        <w:gridCol w:w="950"/>
        <w:gridCol w:w="60"/>
      </w:tblGrid>
      <w:tr>
        <w:trPr/>
        <w:tc>
          <w:tcPr>
            <w:tcW w:w="290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95" w:type="dxa"/>
            <w:gridSpan w:val="1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 except share amounts)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Authorized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Issued and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Liquidation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Preference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Issuable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Upon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Conversion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Series A convertible preferred stock</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40,000,000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2,857,142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2,857,142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Series B convertible preferred stock</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36,409,088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2,600,645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68,995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80,100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5,721,423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Series C convertible preferred stock</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111,619,996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7,500,665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87,038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87,368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7,500,665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convertible preferred stock</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188,029,084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12,958,452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186,033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197,468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16,079,230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910" w:type="dxa"/>
        <w:jc w:val="center"/>
        <w:tblInd w:w="0" w:type="dxa"/>
        <w:tblCellMar>
          <w:top w:w="0" w:type="dxa"/>
          <w:left w:w="0" w:type="dxa"/>
          <w:bottom w:w="28" w:type="dxa"/>
          <w:right w:w="0" w:type="dxa"/>
        </w:tblCellMar>
      </w:tblPr>
      <w:tblGrid>
        <w:gridCol w:w="2900"/>
        <w:gridCol w:w="60"/>
        <w:gridCol w:w="60"/>
        <w:gridCol w:w="950"/>
        <w:gridCol w:w="60"/>
        <w:gridCol w:w="60"/>
        <w:gridCol w:w="60"/>
        <w:gridCol w:w="860"/>
        <w:gridCol w:w="60"/>
        <w:gridCol w:w="60"/>
        <w:gridCol w:w="125"/>
        <w:gridCol w:w="590"/>
        <w:gridCol w:w="60"/>
        <w:gridCol w:w="60"/>
        <w:gridCol w:w="150"/>
        <w:gridCol w:w="710"/>
        <w:gridCol w:w="60"/>
        <w:gridCol w:w="60"/>
        <w:gridCol w:w="60"/>
        <w:gridCol w:w="845"/>
        <w:gridCol w:w="60"/>
      </w:tblGrid>
      <w:tr>
        <w:trPr/>
        <w:tc>
          <w:tcPr>
            <w:tcW w:w="290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90" w:type="dxa"/>
            <w:gridSpan w:val="1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 except share amounts)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Authorized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Issued and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Liquidation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Preference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Issuable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Upon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Conversion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Series A convertible preferred stock</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40,000,000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2,089,285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2,089,285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Series B convertible preferred stock</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36,409,088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2,384,195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73,029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73,433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5,245,233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convertible preferred stock</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76,409,088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4,473,480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94,967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95,371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7,334,518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both"/>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In connection with</w:t>
      </w:r>
      <w:r>
        <w:rPr>
          <w:rFonts w:ascii="Times New Roman" w:hAnsi="Times New Roman"/>
          <w:b w:val="false"/>
          <w:i w:val="false"/>
          <w:caps w:val="false"/>
          <w:smallCaps w:val="false"/>
          <w:color w:val="000000"/>
          <w:sz w:val="20"/>
        </w:rPr>
        <w:t xml:space="preserve"> the IPO, all the outstanding shares of convertible preferred stock converted into common stock and the Company does not have any shares of preferred stock outstanding.</w:t>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2020, the rights and privileges of the holders of the convertible preferred stock were as follows: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139</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Conversion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Shares of preferred stock are convertible, at the option of the holder, at any time, into shares of common stock. The number of shares is determined by dividing the original issuance price by the conversion price, which is also equal to the original issuance price. The conversion price of the preferred stock is subject to adjustment to prevent dilution in the event that the Company issues additional shares of common stock at a price per share less than the Series A convertible preferred stock, Series B convertible preferred stock or Series C convertible preferred stock conversion price, as the case may be. These rights terminate in the event of a liquidation or winding up of the Company. No fractional shares will be issued.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Liquidation Preference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of any liquidation, dissolution, winding up of the Company or deemed liquidation event, either voluntarily or involuntarily, all assets and funds of the Company legally available for distribution will be distributed to the members of the Company at an amount equal to the respective Series A convertible preferred stock issuance price of $10.50 per share, Series B convertible preferred stock issuance price of $30.80 per share and Series C convertible preferred stock issuance price of $11.65 per share, plus any declared but unpaid dividends, first to the Series C convertible preferred stockholders, then the Series B convertible preferred stockholders, then the Series A convertible preferred stockholders.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there are any assets or funds remaining after the distribution to the convertible preferred stockholders, the remaining assets and funds of the Company will be distributed ratably among all members according to the number of shares of common stock held by each member, treating all shares of convertible preferred stock as if they had been converted to common stock immediately prior to the liquidation, dissolution or winding up of the Company.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Dividends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2020, the holders of the convertible preferred stock are entitled to be paid non-cumulative dividends if and when declared by the Company’s board of directors. The Company may not pay any dividends on shares of common stock of the Company unless the holders of the convertible preferred stock then outstanding simultaneously receive dividends at the same rate and same time as dividends paid with respect to common stock. The holders of Series C convertible preferred stock are entitled to receive dividends prior and in preference to any payments to the holders of Series B convertible preferred stock and common stock. The holders of Series B convertible preferred stock are entitled to receive dividends prior and in preference to any payments to the holders of Series A convertible preferred stock and common stock. After payment of dividends to the holders of Series C convertible preferred stock, the holders of Series B convertible preferred stock are entitled to receive dividends prior and in preference to the holders of Series B convertible preferred stock and any payment to the holders of common stock. After payment of dividends to the holders of Series B convertible preferred stock, the holders of Series A convertible preferred stock are entitled to receive dividends prior and in preference to any payment to the holders of common stock. Any additional dividends paid in any fiscal year will be paid among the holders of preferred stock and common stock then outstanding on an as-converted basis. Upon issuance of the Series B convertible preferred stock in October 2018, the dividends became non-cumulative. Dividends shall be 8.0% of the price per share per annum, payable only when and if declared by the Company’s board of directors. Through December 31, 2020, no cash dividends have been declared or paid by the Company.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Voting Rights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Each holder of outstanding convertible preferred stock is entitled to cast the number of votes equal to the whole number of shares of common stock into which the shares of convertible preferred stock held by such holder are convertible as of the record date for determining stockholders entitled to vote on such matter. Fractional votes are not permitted, and any fractional voting rights available on an as-converted basis will be rounded to the nearest whole number. To the extent that convertible preferred stockholders are allowed to vote separately, that series of the convertible preferred stock will have the right to vote separately as a class or series.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140</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Redemption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holders of Series A, Series B and Series C convertible preferred stock have certain liquidation rights in the event of a deemed liquidation that, in certain situations, are not solely within the control of the Company and would call for the redemption of the then outstanding Series A, Series B and Series C convertible preferred stock. Therefore, the Series A, Series B and Series C convertible preferred stock are classified outside of stockholders’ deficit on the unaudited condensed consolidated balance sheets. The carrying value of the convertible preferred stock is not subsequently remeasured to the redemption value until the contingent redemption events are considered to be probable of occurring. </w:t>
      </w:r>
    </w:p>
    <w:tbl>
      <w:tblPr>
        <w:tblW w:w="1630" w:type="dxa"/>
        <w:jc w:val="left"/>
        <w:tblInd w:w="0" w:type="dxa"/>
        <w:tblCellMar>
          <w:top w:w="0" w:type="dxa"/>
          <w:left w:w="0" w:type="dxa"/>
          <w:bottom w:w="0" w:type="dxa"/>
          <w:right w:w="0" w:type="dxa"/>
        </w:tblCellMar>
      </w:tblPr>
      <w:tblGrid>
        <w:gridCol w:w="275"/>
        <w:gridCol w:w="1355"/>
      </w:tblGrid>
      <w:tr>
        <w:trPr/>
        <w:tc>
          <w:tcPr>
            <w:tcW w:w="275"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10.</w:t>
            </w:r>
          </w:p>
        </w:tc>
        <w:tc>
          <w:tcPr>
            <w:tcW w:w="1355"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Common Stock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each balance sheet date, the Company had reserved shares of common stock for issuance in connection with the following: </w:t>
      </w:r>
    </w:p>
    <w:p>
      <w:pPr>
        <w:pStyle w:val="TextBody"/>
        <w:spacing w:before="0" w:after="0"/>
        <w:jc w:val="both"/>
        <w:rPr/>
      </w:pPr>
      <w:r>
        <w:rPr/>
        <w:t> </w:t>
      </w:r>
    </w:p>
    <w:tbl>
      <w:tblPr>
        <w:tblW w:w="7320" w:type="dxa"/>
        <w:jc w:val="center"/>
        <w:tblInd w:w="0" w:type="dxa"/>
        <w:tblCellMar>
          <w:top w:w="0" w:type="dxa"/>
          <w:left w:w="0" w:type="dxa"/>
          <w:bottom w:w="0" w:type="dxa"/>
          <w:right w:w="0" w:type="dxa"/>
        </w:tblCellMar>
      </w:tblPr>
      <w:tblGrid>
        <w:gridCol w:w="5165"/>
        <w:gridCol w:w="60"/>
        <w:gridCol w:w="60"/>
        <w:gridCol w:w="950"/>
        <w:gridCol w:w="60"/>
        <w:gridCol w:w="60"/>
        <w:gridCol w:w="60"/>
        <w:gridCol w:w="845"/>
        <w:gridCol w:w="60"/>
      </w:tblGrid>
      <w:tr>
        <w:trPr/>
        <w:tc>
          <w:tcPr>
            <w:tcW w:w="5165"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65" w:type="dxa"/>
            <w:tcBorders>
              <w:bottom w:val="single" w:sz="6" w:space="0" w:color="000000"/>
            </w:tcBorders>
            <w:shd w:fill="FFFFFF" w:val="clear"/>
            <w:tcMar>
              <w:bottom w:w="28"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6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6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Conversion of outstanding shares of convertible preferred stock</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16,079,230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7,334,518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6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LAV Options issued and outstanding</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984,306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6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outstanding under the 2017 stock plan</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2,466,670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478,135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6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available for future grant under the 2017 stock plan</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17,556</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503,741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6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shares reserved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18,563,456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9,300,700</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Each share of common stock entitles the holder to one vote on all matters submitted to a vote of the Company’s stockholders. Common stockholders are entitled to receive dividends, if any, as may be declared by the Company’s board of directors, subject to the preferential dividend rights of the convertible preferred stock. Through December 31, 2020, no cash dividends have been declared or paid by the Company. </w:t>
      </w:r>
    </w:p>
    <w:tbl>
      <w:tblPr>
        <w:tblW w:w="2635" w:type="dxa"/>
        <w:jc w:val="left"/>
        <w:tblInd w:w="0" w:type="dxa"/>
        <w:tblCellMar>
          <w:top w:w="0" w:type="dxa"/>
          <w:left w:w="0" w:type="dxa"/>
          <w:bottom w:w="0" w:type="dxa"/>
          <w:right w:w="0" w:type="dxa"/>
        </w:tblCellMar>
      </w:tblPr>
      <w:tblGrid>
        <w:gridCol w:w="275"/>
        <w:gridCol w:w="2360"/>
      </w:tblGrid>
      <w:tr>
        <w:trPr/>
        <w:tc>
          <w:tcPr>
            <w:tcW w:w="275"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11.</w:t>
            </w:r>
          </w:p>
        </w:tc>
        <w:tc>
          <w:tcPr>
            <w:tcW w:w="2360"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Stock-Based Compensation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two share-based compensation plans, the 2017 Incentive Award Plan (the “2017 Plan”) and the 2021 Incentive Award Plan (the “2021 Plan”) which was adopted in February 2021. The 2021 Plan is successor to the 2017 Plan and no additional awards may be issued from the 2017 Plan. As of December 31, 2020, 17,556 shares were available for future grants of the Company’s common stock under the 2017 Plan.</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Each plan, while effective, authorizes the granting of shares of common stock and options to purchase common stock to employees and directors of the Company, as well as non-employee consultants, and allows the holder of the option to purchase common stock at a stated exercise price. Stock options granted to employees and nonemployees under the plans generally vest over four years. Options granted under the plans generally expire ten years after the date of grant. The Company recognizes the stock-based compensation expense over the requisite service period of the individual grantees, which generally equals the vesting period. </w:t>
      </w:r>
    </w:p>
    <w:p>
      <w:pPr>
        <w:pStyle w:val="TextBody"/>
        <w:spacing w:before="0" w:after="0"/>
        <w:jc w:val="both"/>
        <w:rPr/>
      </w:pPr>
      <w:r>
        <w:rPr/>
        <w:t> </w:t>
      </w:r>
    </w:p>
    <w:p>
      <w:pPr>
        <w:pStyle w:val="TextBody"/>
        <w:spacing w:before="1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2021 Incentive Award Plan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January 2021, the Company's board of directors approved the 2021 Plan which permits the granting of incentive stock options, nonqualified stock options, stock appreciation rights, restricted stock awards, restricted stock unit awards, performance bonus awards, performance stock unit awards and other stock awards to employees, directors, officers and consultants. In February 2021, 2,400,007 shares were authorized for issuance under the 2021 Plan.</w:t>
      </w:r>
      <w:r>
        <w:rPr>
          <w:rFonts w:ascii="Times New Roman" w:hAnsi="Times New Roman"/>
          <w:b w:val="false"/>
          <w:i w:val="false"/>
          <w:caps w:val="false"/>
          <w:smallCaps w:val="false"/>
          <w:sz w:val="20"/>
          <w:highlight w:val="white"/>
        </w:rPr>
        <w:t xml:space="preserve"> </w:t>
      </w:r>
      <w:r>
        <w:rPr>
          <w:rFonts w:ascii="Times New Roman" w:hAnsi="Times New Roman"/>
          <w:b w:val="false"/>
          <w:i w:val="false"/>
          <w:caps w:val="false"/>
          <w:smallCaps w:val="false"/>
          <w:sz w:val="20"/>
        </w:rPr>
        <w:t xml:space="preserve">The 2021 Plan is successor to the 2017 Incentive Award Plan and no additional awards may be issued from the 2017 Plan. </w:t>
      </w:r>
      <w:r>
        <w:rPr>
          <w:rFonts w:ascii="Times New Roman" w:hAnsi="Times New Roman"/>
          <w:b w:val="false"/>
          <w:i w:val="false"/>
          <w:caps w:val="false"/>
          <w:smallCaps w:val="false"/>
          <w:color w:val="000000"/>
          <w:sz w:val="20"/>
          <w:highlight w:val="white"/>
        </w:rPr>
        <w:t xml:space="preserve">However, the 2017 Plan will continue to govern the terms and conditions of the outstanding awards granted under this plan. Shares of common stock subject to awards granted under the 2017 Plan that are forfeited or lapse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141</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unexercised and which following the effective date of the 2021 Plan are not issued under the 2017 Plan will be available for issuance under the 2021 Plan.</w:t>
      </w:r>
    </w:p>
    <w:p>
      <w:pPr>
        <w:pStyle w:val="TextBody"/>
        <w:spacing w:before="0" w:after="0"/>
        <w:jc w:val="both"/>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the stock option activity for all stock plans during the year ended December 31, 2020: </w:t>
      </w:r>
    </w:p>
    <w:p>
      <w:pPr>
        <w:pStyle w:val="TextBody"/>
        <w:spacing w:before="0" w:after="0"/>
        <w:rPr/>
      </w:pPr>
      <w:r>
        <w:rPr/>
        <w:t> </w:t>
      </w:r>
    </w:p>
    <w:tbl>
      <w:tblPr>
        <w:tblW w:w="8053" w:type="dxa"/>
        <w:jc w:val="center"/>
        <w:tblInd w:w="0" w:type="dxa"/>
        <w:tblCellMar>
          <w:top w:w="0" w:type="dxa"/>
          <w:left w:w="0" w:type="dxa"/>
          <w:bottom w:w="28" w:type="dxa"/>
          <w:right w:w="0" w:type="dxa"/>
        </w:tblCellMar>
      </w:tblPr>
      <w:tblGrid>
        <w:gridCol w:w="3950"/>
        <w:gridCol w:w="60"/>
        <w:gridCol w:w="60"/>
        <w:gridCol w:w="845"/>
        <w:gridCol w:w="80"/>
        <w:gridCol w:w="60"/>
        <w:gridCol w:w="189"/>
        <w:gridCol w:w="580"/>
        <w:gridCol w:w="60"/>
        <w:gridCol w:w="60"/>
        <w:gridCol w:w="123"/>
        <w:gridCol w:w="782"/>
        <w:gridCol w:w="60"/>
        <w:gridCol w:w="60"/>
        <w:gridCol w:w="178"/>
        <w:gridCol w:w="846"/>
        <w:gridCol w:w="60"/>
      </w:tblGrid>
      <w:tr>
        <w:trPr/>
        <w:tc>
          <w:tcPr>
            <w:tcW w:w="39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 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Term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122,490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446,061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(9,939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(80,477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478,135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2,137,169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(38,285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(110,349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December 31, 2020</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2,466,670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21,678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Exercisable, 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1,983,384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 and expected to vest,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2,466,670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21,678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aggregate intrinsic value of stock options is calculated as the difference between the exercise price of the stock options and the fair value of the Company’s common stock for those stock options that had exercise prices lower than the fair value of the Company’s common stock.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2020 and 2019, respectively, there was $26.7 million and $1.7 million of unrecognized stock-based compensation expense related to unvested stock options. The unrecognized stock-based compensation expense is estimated to be recognized over a period of 3.81 years as of December 31, 2020.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total fair value of options vested during the year ended December 31, 2020 and 2019 was $0.7 million and $0.3 million, respectively.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estimated the fair value of options granted using a Black-Scholes option pricing model with the following assumptions presented on a weighted average basis: </w:t>
      </w:r>
    </w:p>
    <w:p>
      <w:pPr>
        <w:pStyle w:val="TextBody"/>
        <w:spacing w:before="0" w:after="0"/>
        <w:rPr/>
      </w:pPr>
      <w:r>
        <w:rPr/>
        <w:t> </w:t>
      </w:r>
    </w:p>
    <w:tbl>
      <w:tblPr>
        <w:tblW w:w="5527" w:type="dxa"/>
        <w:jc w:val="center"/>
        <w:tblInd w:w="0" w:type="dxa"/>
        <w:tblCellMar>
          <w:top w:w="0" w:type="dxa"/>
          <w:left w:w="0" w:type="dxa"/>
          <w:bottom w:w="28" w:type="dxa"/>
          <w:right w:w="0" w:type="dxa"/>
        </w:tblCellMar>
      </w:tblPr>
      <w:tblGrid>
        <w:gridCol w:w="3215"/>
        <w:gridCol w:w="60"/>
        <w:gridCol w:w="178"/>
        <w:gridCol w:w="696"/>
        <w:gridCol w:w="241"/>
        <w:gridCol w:w="78"/>
        <w:gridCol w:w="178"/>
        <w:gridCol w:w="696"/>
        <w:gridCol w:w="185"/>
      </w:tblGrid>
      <w:tr>
        <w:trPr/>
        <w:tc>
          <w:tcPr>
            <w:tcW w:w="3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2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option life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4" w:type="dxa"/>
            <w:gridSpan w:val="2"/>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6.06 Years</w:t>
            </w:r>
          </w:p>
        </w:tc>
        <w:tc>
          <w:tcPr>
            <w:tcW w:w="2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4" w:type="dxa"/>
            <w:gridSpan w:val="2"/>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 Years</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62.02</w:t>
            </w:r>
          </w:p>
        </w:tc>
        <w:tc>
          <w:tcPr>
            <w:tcW w:w="2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63.84</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0.49</w:t>
            </w:r>
          </w:p>
        </w:tc>
        <w:tc>
          <w:tcPr>
            <w:tcW w:w="24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Fair value of underlying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17.97</w:t>
            </w:r>
          </w:p>
        </w:tc>
        <w:tc>
          <w:tcPr>
            <w:tcW w:w="2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6.63</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Fair value of option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12.84</w:t>
            </w:r>
          </w:p>
        </w:tc>
        <w:tc>
          <w:tcPr>
            <w:tcW w:w="2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4.53</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Expected dividend yield is based on the fact that the Company has never paid cash dividends and does not expect to pay any cash dividends in the foreseeable future. </w:t>
      </w:r>
    </w:p>
    <w:p>
      <w:pPr>
        <w:pStyle w:val="TextBody"/>
        <w:spacing w:before="0" w:after="0"/>
        <w:jc w:val="both"/>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Restricted Stock</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142</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the stock award activity for all stock plans during the year ended December 31, 2020: </w:t>
      </w:r>
    </w:p>
    <w:p>
      <w:pPr>
        <w:pStyle w:val="TextBody"/>
        <w:spacing w:before="0" w:after="0"/>
        <w:rPr/>
      </w:pPr>
      <w:r>
        <w:rPr/>
        <w:t> </w:t>
      </w:r>
    </w:p>
    <w:tbl>
      <w:tblPr>
        <w:tblW w:w="6800" w:type="dxa"/>
        <w:jc w:val="center"/>
        <w:tblInd w:w="0" w:type="dxa"/>
        <w:tblCellMar>
          <w:top w:w="0" w:type="dxa"/>
          <w:left w:w="0" w:type="dxa"/>
          <w:bottom w:w="28" w:type="dxa"/>
          <w:right w:w="0" w:type="dxa"/>
        </w:tblCellMar>
      </w:tblPr>
      <w:tblGrid>
        <w:gridCol w:w="4850"/>
        <w:gridCol w:w="60"/>
        <w:gridCol w:w="60"/>
        <w:gridCol w:w="755"/>
        <w:gridCol w:w="80"/>
        <w:gridCol w:w="60"/>
        <w:gridCol w:w="216"/>
        <w:gridCol w:w="659"/>
        <w:gridCol w:w="60"/>
      </w:tblGrid>
      <w:tr>
        <w:trPr/>
        <w:tc>
          <w:tcPr>
            <w:tcW w:w="48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 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Grant-Date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restricted common stock as of December 31, 2018</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303,571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(101,190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(35,714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restricted common stock as of December 31, 2019</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166,667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(83,333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restricted common stock as of December 31, 2020</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83,334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December 31, 2020 and 2019, there was less than $0.1 million and $0.2 million of unrecognized stock-based compensation expense related to restricted stock granted by the Company, respectively. The unrecognized stock-based compensation expense is estimated to be recognized over a period of 0.27 years as of December 31, 2020. The total fair value of the restricted stock vested during the years ended December 31, 2020 and 2019 was $0.2 million.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Stock-Based Compensation Expense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Stock-based compensation expense was classified in the consolidated statements of operations and comprehensive loss as follows: </w:t>
      </w:r>
    </w:p>
    <w:p>
      <w:pPr>
        <w:pStyle w:val="TextBody"/>
        <w:spacing w:before="0" w:after="0"/>
        <w:rPr/>
      </w:pPr>
      <w:r>
        <w:rPr/>
        <w:t> </w:t>
      </w:r>
    </w:p>
    <w:tbl>
      <w:tblPr>
        <w:tblW w:w="5377" w:type="dxa"/>
        <w:jc w:val="center"/>
        <w:tblInd w:w="0" w:type="dxa"/>
        <w:tblCellMar>
          <w:top w:w="0" w:type="dxa"/>
          <w:left w:w="0" w:type="dxa"/>
          <w:bottom w:w="28" w:type="dxa"/>
          <w:right w:w="0" w:type="dxa"/>
        </w:tblCellMar>
      </w:tblPr>
      <w:tblGrid>
        <w:gridCol w:w="3350"/>
        <w:gridCol w:w="60"/>
        <w:gridCol w:w="200"/>
        <w:gridCol w:w="778"/>
        <w:gridCol w:w="96"/>
        <w:gridCol w:w="96"/>
        <w:gridCol w:w="200"/>
        <w:gridCol w:w="537"/>
        <w:gridCol w:w="60"/>
      </w:tblGrid>
      <w:tr>
        <w:trPr/>
        <w:tc>
          <w:tcPr>
            <w:tcW w:w="33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373</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1,318</w:t>
            </w:r>
          </w:p>
        </w:tc>
        <w:tc>
          <w:tcPr>
            <w:tcW w:w="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stock-based compensation expense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1,691</w:t>
            </w:r>
          </w:p>
        </w:tc>
        <w:tc>
          <w:tcPr>
            <w:tcW w:w="9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tbl>
      <w:tblPr>
        <w:tblW w:w="1360" w:type="dxa"/>
        <w:jc w:val="left"/>
        <w:tblInd w:w="0" w:type="dxa"/>
        <w:tblCellMar>
          <w:top w:w="0" w:type="dxa"/>
          <w:left w:w="0" w:type="dxa"/>
          <w:bottom w:w="0" w:type="dxa"/>
          <w:right w:w="0" w:type="dxa"/>
        </w:tblCellMar>
      </w:tblPr>
      <w:tblGrid>
        <w:gridCol w:w="275"/>
        <w:gridCol w:w="1085"/>
      </w:tblGrid>
      <w:tr>
        <w:trPr/>
        <w:tc>
          <w:tcPr>
            <w:tcW w:w="275" w:type="dxa"/>
            <w:tcBorders/>
            <w:shd w:fill="auto" w:val="clear"/>
          </w:tcPr>
          <w:p>
            <w:pPr>
              <w:pStyle w:val="TableContents"/>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12.</w:t>
            </w:r>
          </w:p>
        </w:tc>
        <w:tc>
          <w:tcPr>
            <w:tcW w:w="1085" w:type="dxa"/>
            <w:tcBorders/>
            <w:shd w:fill="auto" w:val="clear"/>
          </w:tcPr>
          <w:p>
            <w:pPr>
              <w:pStyle w:val="TableContents"/>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Income Tax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presents domestic and foreign components of income (loss) before income taxes: </w:t>
      </w:r>
    </w:p>
    <w:p>
      <w:pPr>
        <w:pStyle w:val="TextBody"/>
        <w:spacing w:before="0" w:after="0"/>
        <w:rPr/>
      </w:pPr>
      <w:r>
        <w:rPr/>
        <w:t> </w:t>
      </w:r>
    </w:p>
    <w:tbl>
      <w:tblPr>
        <w:tblW w:w="2855" w:type="dxa"/>
        <w:jc w:val="center"/>
        <w:tblInd w:w="0" w:type="dxa"/>
        <w:tblCellMar>
          <w:top w:w="0" w:type="dxa"/>
          <w:left w:w="0" w:type="dxa"/>
          <w:bottom w:w="28" w:type="dxa"/>
          <w:right w:w="0" w:type="dxa"/>
        </w:tblCellMar>
      </w:tblPr>
      <w:tblGrid>
        <w:gridCol w:w="1025"/>
        <w:gridCol w:w="60"/>
        <w:gridCol w:w="125"/>
        <w:gridCol w:w="650"/>
        <w:gridCol w:w="80"/>
        <w:gridCol w:w="60"/>
        <w:gridCol w:w="125"/>
        <w:gridCol w:w="650"/>
        <w:gridCol w:w="80"/>
      </w:tblGrid>
      <w:tr>
        <w:trPr/>
        <w:tc>
          <w:tcPr>
            <w:tcW w:w="102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02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(40,938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(68,069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02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(39,758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(68,839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143</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the provision (benefit) for income taxes:</w:t>
      </w:r>
    </w:p>
    <w:p>
      <w:pPr>
        <w:pStyle w:val="TextBody"/>
        <w:spacing w:before="0" w:after="0"/>
        <w:jc w:val="both"/>
        <w:rPr/>
      </w:pPr>
      <w:r>
        <w:rPr/>
        <w:t> </w:t>
      </w:r>
    </w:p>
    <w:tbl>
      <w:tblPr>
        <w:tblW w:w="4100" w:type="dxa"/>
        <w:jc w:val="center"/>
        <w:tblInd w:w="0" w:type="dxa"/>
        <w:tblCellMar>
          <w:top w:w="0" w:type="dxa"/>
          <w:left w:w="0" w:type="dxa"/>
          <w:bottom w:w="28" w:type="dxa"/>
          <w:right w:w="0" w:type="dxa"/>
        </w:tblCellMar>
      </w:tblPr>
      <w:tblGrid>
        <w:gridCol w:w="2840"/>
        <w:gridCol w:w="60"/>
        <w:gridCol w:w="125"/>
        <w:gridCol w:w="335"/>
        <w:gridCol w:w="80"/>
        <w:gridCol w:w="60"/>
        <w:gridCol w:w="125"/>
        <w:gridCol w:w="395"/>
        <w:gridCol w:w="80"/>
      </w:tblGrid>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4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4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deferred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4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income tax expense (benefit)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reconciliation of the U.S. federal statutory income tax benefit to the Company’s effective income tax rate is as follows: </w:t>
      </w:r>
    </w:p>
    <w:p>
      <w:pPr>
        <w:pStyle w:val="TextBody"/>
        <w:spacing w:before="0" w:after="0"/>
        <w:rPr/>
      </w:pPr>
      <w:r>
        <w:rPr/>
        <w:t> </w:t>
      </w:r>
    </w:p>
    <w:tbl>
      <w:tblPr>
        <w:tblW w:w="5410" w:type="dxa"/>
        <w:jc w:val="center"/>
        <w:tblInd w:w="0" w:type="dxa"/>
        <w:tblCellMar>
          <w:top w:w="0" w:type="dxa"/>
          <w:left w:w="0" w:type="dxa"/>
          <w:bottom w:w="28" w:type="dxa"/>
          <w:right w:w="0" w:type="dxa"/>
        </w:tblCellMar>
      </w:tblPr>
      <w:tblGrid>
        <w:gridCol w:w="3650"/>
        <w:gridCol w:w="60"/>
        <w:gridCol w:w="60"/>
        <w:gridCol w:w="545"/>
        <w:gridCol w:w="245"/>
        <w:gridCol w:w="60"/>
        <w:gridCol w:w="60"/>
        <w:gridCol w:w="545"/>
        <w:gridCol w:w="185"/>
      </w:tblGrid>
      <w:tr>
        <w:trPr/>
        <w:tc>
          <w:tcPr>
            <w:tcW w:w="36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benefit at U.S. statutory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21.00</w:t>
            </w:r>
          </w:p>
        </w:tc>
        <w:tc>
          <w:tcPr>
            <w:tcW w:w="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21.00</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6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 income taxes, net of Federal tax benefit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income taxed at non-U.S. rates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(22.10</w:t>
            </w:r>
          </w:p>
        </w:tc>
        <w:tc>
          <w:tcPr>
            <w:tcW w:w="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(20.32</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6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permanent benefits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permanent items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(0.16</w:t>
            </w:r>
          </w:p>
        </w:tc>
        <w:tc>
          <w:tcPr>
            <w:tcW w:w="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(0.16</w:t>
            </w:r>
          </w:p>
        </w:tc>
        <w:tc>
          <w:tcPr>
            <w:tcW w:w="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(0.12</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6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credits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w:t>
            </w:r>
          </w:p>
        </w:tc>
        <w:tc>
          <w:tcPr>
            <w:tcW w:w="24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Unrecognized tax benefit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(0.71</w:t>
            </w:r>
          </w:p>
        </w:tc>
        <w:tc>
          <w:tcPr>
            <w:tcW w:w="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(3.85</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6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GILTI</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(0.32</w:t>
            </w:r>
          </w:p>
        </w:tc>
        <w:tc>
          <w:tcPr>
            <w:tcW w:w="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in valuation allowance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w:t>
            </w:r>
          </w:p>
        </w:tc>
        <w:tc>
          <w:tcPr>
            <w:tcW w:w="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0.14</w:t>
            </w:r>
          </w:p>
        </w:tc>
        <w:tc>
          <w:tcPr>
            <w:tcW w:w="245"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(0.52</w:t>
            </w:r>
          </w:p>
        </w:tc>
        <w:tc>
          <w:tcPr>
            <w:tcW w:w="1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65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w:t>
            </w:r>
          </w:p>
        </w:tc>
        <w:tc>
          <w:tcPr>
            <w:tcW w:w="2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0.03</w:t>
            </w:r>
          </w:p>
        </w:tc>
        <w:tc>
          <w:tcPr>
            <w:tcW w:w="1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difference between the provision for income taxes and the income tax determined by applying the statutory federal income tax rate of 21% was due primarily to foreign rate differential and change in valuation allowance.</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144</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components of the Company’s deferred tax assets and liabilities are as follows:</w:t>
      </w:r>
    </w:p>
    <w:p>
      <w:pPr>
        <w:pStyle w:val="TextBody"/>
        <w:spacing w:before="0" w:after="0"/>
        <w:jc w:val="both"/>
        <w:rPr/>
      </w:pPr>
      <w:r>
        <w:rPr/>
        <w:t> </w:t>
      </w:r>
    </w:p>
    <w:tbl>
      <w:tblPr>
        <w:tblW w:w="4265" w:type="dxa"/>
        <w:jc w:val="center"/>
        <w:tblInd w:w="0" w:type="dxa"/>
        <w:tblCellMar>
          <w:top w:w="0" w:type="dxa"/>
          <w:left w:w="0" w:type="dxa"/>
          <w:bottom w:w="28" w:type="dxa"/>
          <w:right w:w="0" w:type="dxa"/>
        </w:tblCellMar>
      </w:tblPr>
      <w:tblGrid>
        <w:gridCol w:w="2795"/>
        <w:gridCol w:w="60"/>
        <w:gridCol w:w="125"/>
        <w:gridCol w:w="545"/>
        <w:gridCol w:w="80"/>
        <w:gridCol w:w="60"/>
        <w:gridCol w:w="125"/>
        <w:gridCol w:w="395"/>
        <w:gridCol w:w="80"/>
      </w:tblGrid>
      <w:tr>
        <w:trPr/>
        <w:tc>
          <w:tcPr>
            <w:tcW w:w="279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tax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Accruals and reserves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operating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credits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Valuation allowance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9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deferred tax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tax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9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Fixed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9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deferred tax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9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deferred tax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assessing the realization of deferred tax assets, the Company considers whether it is more likely than not that some portion or all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The Company recorded a full valuation allowance against its U.S. net deferred tax assets as it believes these deferred tax assets were not realizable on a more likely than not basis as of December 31, 2020. Based upon the weight of available evidence, including historical operating performance and the Company’s change of structure due to domestication of its Cayman entity to the State of Delaware in 2020, a net loss will be expected to occur in the foreseeable future, the Company decided to put on full valuation allowance against its net U.S. deferred tax assets.</w:t>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Utilization of the research and development credit carryforward may be subject to an annual limitation due to the ownership percentage change limitations provided by the Internal Revenue Code of 1986 and similar state provisions. The annual limitation may result in the expiration of the research and development credits before utilization. The amount of such elimination, if any, have not been determined.</w:t>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2020 and 2019, the Company had a federal Research and Experimentation (R&amp;E) credit carryforward of approximately $1.1 million and $0.6 million, respectively, which begins to expire in 2039. The California R&amp;E credit carryforward of approximately $0.9 million and $0.5 million, respectively, do not expire.</w:t>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2020 and 2019, the total amount of unrecognized tax benefits was $5.4 million and $4.7 million, respectively, $4.2 million and $4.5 million of which would affect income tax expense, if recognized, before consideration of any valuation allowance. The Company does not expect the unrecognized tax benefits to change significantly over the next 12 months.</w:t>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reconciliation of the beginning and ending unrecognized tax benefit are as follows: </w:t>
      </w:r>
    </w:p>
    <w:p>
      <w:pPr>
        <w:pStyle w:val="TextBody"/>
        <w:spacing w:before="0" w:after="0"/>
        <w:rPr/>
      </w:pPr>
      <w:r>
        <w:rPr/>
        <w:t> </w:t>
      </w:r>
    </w:p>
    <w:tbl>
      <w:tblPr>
        <w:tblW w:w="5215" w:type="dxa"/>
        <w:jc w:val="center"/>
        <w:tblInd w:w="0" w:type="dxa"/>
        <w:tblCellMar>
          <w:top w:w="0" w:type="dxa"/>
          <w:left w:w="0" w:type="dxa"/>
          <w:bottom w:w="28" w:type="dxa"/>
          <w:right w:w="0" w:type="dxa"/>
        </w:tblCellMar>
      </w:tblPr>
      <w:tblGrid>
        <w:gridCol w:w="3755"/>
        <w:gridCol w:w="60"/>
        <w:gridCol w:w="125"/>
        <w:gridCol w:w="485"/>
        <w:gridCol w:w="60"/>
        <w:gridCol w:w="60"/>
        <w:gridCol w:w="125"/>
        <w:gridCol w:w="485"/>
        <w:gridCol w:w="60"/>
      </w:tblGrid>
      <w:tr>
        <w:trPr/>
        <w:tc>
          <w:tcPr>
            <w:tcW w:w="37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5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Unrecognized tax benefit at beginning of year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5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Increases related to current year tax position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5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Unrecognized tax benefit at end of year</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5,406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4,709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145</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4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includes interest and penalties related to unrecognized tax benefits within the provision for income taxes. As of December 31, 2020, and 2019, the total amount of gross interest accrued and penalties was nominal.</w:t>
      </w:r>
    </w:p>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The Company is subject to income taxes in the U.S. federal, state, and various foreign jurisdictions. Tax regulations within each jurisdiction are subject to the interpretation of the related tax laws and regulations and require significant judgment to apply. The Company’s tax years remain open for examination by all tax authorities since inception as well as carryover attributes beginning December 31, 2018, remain open to adjustment by U.S. and foreign authorities. </w:t>
      </w:r>
    </w:p>
    <w:tbl>
      <w:tblPr>
        <w:tblW w:w="2770" w:type="dxa"/>
        <w:jc w:val="left"/>
        <w:tblInd w:w="0" w:type="dxa"/>
        <w:tblCellMar>
          <w:top w:w="0" w:type="dxa"/>
          <w:left w:w="0" w:type="dxa"/>
          <w:bottom w:w="0" w:type="dxa"/>
          <w:right w:w="0" w:type="dxa"/>
        </w:tblCellMar>
      </w:tblPr>
      <w:tblGrid>
        <w:gridCol w:w="275"/>
        <w:gridCol w:w="2495"/>
      </w:tblGrid>
      <w:tr>
        <w:trPr/>
        <w:tc>
          <w:tcPr>
            <w:tcW w:w="275"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13.</w:t>
            </w:r>
          </w:p>
        </w:tc>
        <w:tc>
          <w:tcPr>
            <w:tcW w:w="2495" w:type="dxa"/>
            <w:tcBorders/>
            <w:shd w:fill="auto" w:val="clear"/>
          </w:tcPr>
          <w:p>
            <w:pPr>
              <w:pStyle w:val="TableContents"/>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Net Loss Per Common Share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Basic and diluted net loss per common share were calculated as follows: </w:t>
      </w:r>
    </w:p>
    <w:p>
      <w:pPr>
        <w:pStyle w:val="TextBody"/>
        <w:spacing w:before="0" w:after="0"/>
        <w:jc w:val="both"/>
        <w:rPr/>
      </w:pPr>
      <w:r>
        <w:rPr/>
        <w:t> </w:t>
      </w:r>
    </w:p>
    <w:tbl>
      <w:tblPr>
        <w:tblW w:w="6380" w:type="dxa"/>
        <w:jc w:val="center"/>
        <w:tblInd w:w="0" w:type="dxa"/>
        <w:tblCellMar>
          <w:top w:w="0" w:type="dxa"/>
          <w:left w:w="0" w:type="dxa"/>
          <w:bottom w:w="28" w:type="dxa"/>
          <w:right w:w="0" w:type="dxa"/>
        </w:tblCellMar>
      </w:tblPr>
      <w:tblGrid>
        <w:gridCol w:w="4460"/>
        <w:gridCol w:w="60"/>
        <w:gridCol w:w="125"/>
        <w:gridCol w:w="695"/>
        <w:gridCol w:w="80"/>
        <w:gridCol w:w="60"/>
        <w:gridCol w:w="125"/>
        <w:gridCol w:w="695"/>
        <w:gridCol w:w="80"/>
      </w:tblGrid>
      <w:tr>
        <w:trPr/>
        <w:tc>
          <w:tcPr>
            <w:tcW w:w="44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Year Ended</w:t>
            </w:r>
          </w:p>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6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thousands, except share and per share amounts)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Numerator: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(40,571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(68,819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Extinguishment of Series B 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6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attributable to noncontrolling interest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attributable to common stockholders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(29,352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(68,611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Denominator: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6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stock outstanding,</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285,162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183,262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6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attributable to common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stockholders,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(102.93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(374.39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excluded the following potential shares of common stock, presented based on amounts outstanding at each period end, from the computation of diluted net loss attributable to common stockholders per common share for the periods indicated because including them would have had an anti-dilutive effect: </w:t>
      </w:r>
    </w:p>
    <w:p>
      <w:pPr>
        <w:pStyle w:val="TextBody"/>
        <w:spacing w:before="0" w:after="0"/>
        <w:jc w:val="both"/>
        <w:rPr/>
      </w:pPr>
      <w:r>
        <w:rPr/>
        <w:t> </w:t>
      </w:r>
    </w:p>
    <w:tbl>
      <w:tblPr>
        <w:tblW w:w="6285" w:type="dxa"/>
        <w:jc w:val="center"/>
        <w:tblInd w:w="0" w:type="dxa"/>
        <w:tblCellMar>
          <w:top w:w="0" w:type="dxa"/>
          <w:left w:w="0" w:type="dxa"/>
          <w:bottom w:w="28" w:type="dxa"/>
          <w:right w:w="0" w:type="dxa"/>
        </w:tblCellMar>
      </w:tblPr>
      <w:tblGrid>
        <w:gridCol w:w="4130"/>
        <w:gridCol w:w="60"/>
        <w:gridCol w:w="60"/>
        <w:gridCol w:w="950"/>
        <w:gridCol w:w="60"/>
        <w:gridCol w:w="60"/>
        <w:gridCol w:w="60"/>
        <w:gridCol w:w="845"/>
        <w:gridCol w:w="60"/>
      </w:tblGrid>
      <w:tr>
        <w:trPr/>
        <w:tc>
          <w:tcPr>
            <w:tcW w:w="41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to purchase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2,466,670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478,135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83,334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166,667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Convertible preferred stock (as converted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16,079,230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7,334,518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to purchase convertible preferred stock (as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converted to common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984,306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18,629,234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8,963,626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070" w:type="dxa"/>
        <w:jc w:val="left"/>
        <w:tblInd w:w="0" w:type="dxa"/>
        <w:tblCellMar>
          <w:top w:w="0" w:type="dxa"/>
          <w:left w:w="0" w:type="dxa"/>
          <w:bottom w:w="0" w:type="dxa"/>
          <w:right w:w="0" w:type="dxa"/>
        </w:tblCellMar>
      </w:tblPr>
      <w:tblGrid>
        <w:gridCol w:w="275"/>
        <w:gridCol w:w="2795"/>
      </w:tblGrid>
      <w:tr>
        <w:trPr/>
        <w:tc>
          <w:tcPr>
            <w:tcW w:w="275" w:type="dxa"/>
            <w:tcBorders/>
            <w:shd w:fill="auto" w:val="clear"/>
          </w:tcPr>
          <w:p>
            <w:pPr>
              <w:pStyle w:val="TableContents"/>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14.</w:t>
            </w:r>
          </w:p>
        </w:tc>
        <w:tc>
          <w:tcPr>
            <w:tcW w:w="2795" w:type="dxa"/>
            <w:tcBorders/>
            <w:shd w:fill="auto" w:val="clear"/>
          </w:tcPr>
          <w:p>
            <w:pPr>
              <w:pStyle w:val="TableContents"/>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Commitments and Contingencies</w:t>
            </w:r>
          </w:p>
        </w:tc>
      </w:tr>
    </w:tbl>
    <w:p>
      <w:pPr>
        <w:pStyle w:val="TextBody"/>
        <w:shd w:fill="FFFFFF" w:val="clear"/>
        <w:spacing w:before="12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Lease Agreements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March 2018, the Company entered into a lease agreement for office space in Shanghai China, which expires in May 2021. Monthly lease payments are inclusive of base rent, property management fee and the respective value added tax to be paid. Monthly lease payments include base rent of approximately $15,000 through May 2021.</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March 2019, the Company entered into a lease agreement for office space in Foster City, California which expires October 2024. The Company has the option to extend the lease agreement for a period of five years.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146</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monthly lease payments include base rent charges of $48,000. The lease provides for a rent abatement and scheduled increases in base rent.</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June 2019, the Company entered into a lease agreement for office space in Suzhou China, which expires in September 2022. Monthly lease payments are inclusive of base rent, property management fee and the respective value added tax to be paid. Monthly lease payments include base rent of approximately $4,000 through September 2022.</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Future minimum lease payments due under operating leases as of December 31, 2020 are as follows:</w:t>
      </w:r>
    </w:p>
    <w:p>
      <w:pPr>
        <w:pStyle w:val="TextBody"/>
        <w:shd w:fill="FFFFFF" w:val="clear"/>
        <w:spacing w:before="0" w:after="0"/>
        <w:jc w:val="both"/>
        <w:rPr/>
      </w:pPr>
      <w:r>
        <w:rPr/>
        <w:t> </w:t>
      </w:r>
    </w:p>
    <w:tbl>
      <w:tblPr>
        <w:tblW w:w="2994" w:type="dxa"/>
        <w:jc w:val="center"/>
        <w:tblInd w:w="0" w:type="dxa"/>
        <w:tblCellMar>
          <w:top w:w="0" w:type="dxa"/>
          <w:left w:w="0" w:type="dxa"/>
          <w:bottom w:w="28" w:type="dxa"/>
          <w:right w:w="0" w:type="dxa"/>
        </w:tblCellMar>
      </w:tblPr>
      <w:tblGrid>
        <w:gridCol w:w="1595"/>
        <w:gridCol w:w="60"/>
        <w:gridCol w:w="260"/>
        <w:gridCol w:w="1019"/>
        <w:gridCol w:w="60"/>
      </w:tblGrid>
      <w:tr>
        <w:trPr/>
        <w:tc>
          <w:tcPr>
            <w:tcW w:w="15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Operating Leases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95" w:type="dxa"/>
            <w:tcBorders/>
            <w:shd w:fill="CCEEFF" w:val="clear"/>
            <w:tcMar>
              <w:bottom w:w="0" w:type="dxa"/>
            </w:tcM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w:t>
            </w:r>
          </w:p>
        </w:tc>
        <w:tc>
          <w:tcPr>
            <w:tcW w:w="60" w:type="dxa"/>
            <w:tcBorders/>
            <w:shd w:fill="CCEE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CEE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9" w:type="dxa"/>
            <w:tcBorders>
              <w:top w:val="single" w:sz="6"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669</w:t>
            </w:r>
          </w:p>
        </w:tc>
        <w:tc>
          <w:tcPr>
            <w:tcW w:w="60" w:type="dxa"/>
            <w:tcBorders/>
            <w:shd w:fill="CCEE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95" w:type="dxa"/>
            <w:tcBorders/>
            <w:shd w:fill="FFFFFF" w:val="clear"/>
            <w:tcMar>
              <w:bottom w:w="0" w:type="dxa"/>
            </w:tcM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95" w:type="dxa"/>
            <w:tcBorders/>
            <w:shd w:fill="CCEEFF" w:val="clear"/>
            <w:tcMar>
              <w:bottom w:w="0" w:type="dxa"/>
            </w:tcM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CCEE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CEE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9" w:type="dxa"/>
            <w:tcBorders/>
            <w:shd w:fill="CCEE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652</w:t>
            </w:r>
          </w:p>
        </w:tc>
        <w:tc>
          <w:tcPr>
            <w:tcW w:w="60" w:type="dxa"/>
            <w:tcBorders/>
            <w:shd w:fill="CCEE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95" w:type="dxa"/>
            <w:tcBorders/>
            <w:shd w:fill="FFFFFF" w:val="clear"/>
            <w:tcMar>
              <w:bottom w:w="0" w:type="dxa"/>
            </w:tcM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95" w:type="dxa"/>
            <w:tcBorders>
              <w:bottom w:val="single" w:sz="6" w:space="0" w:color="000000"/>
            </w:tcBorders>
            <w:shd w:fill="CCEEFF" w:val="cle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 and thereafter</w:t>
            </w:r>
          </w:p>
        </w:tc>
        <w:tc>
          <w:tcPr>
            <w:tcW w:w="60" w:type="dxa"/>
            <w:tcBorders>
              <w:bottom w:val="single" w:sz="6" w:space="0" w:color="000000"/>
            </w:tcBorders>
            <w:shd w:fill="CCEE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bottom w:val="single" w:sz="6" w:space="0" w:color="000000"/>
            </w:tcBorders>
            <w:shd w:fill="CCEE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9" w:type="dxa"/>
            <w:tcBorders>
              <w:bottom w:val="single" w:sz="6" w:space="0" w:color="000000"/>
            </w:tcBorders>
            <w:shd w:fill="CCEE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CEE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95" w:type="dxa"/>
            <w:tcBorders>
              <w:bottom w:val="double" w:sz="6" w:space="0" w:color="000000"/>
            </w:tcBorders>
            <w:shd w:fill="FFFFFF" w:val="cle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Contingencies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TextBody"/>
        <w:spacing w:before="0" w:after="0"/>
        <w:rPr/>
      </w:pPr>
      <w:r>
        <w:rPr/>
        <w:t> </w:t>
      </w:r>
    </w:p>
    <w:tbl>
      <w:tblPr>
        <w:tblW w:w="4705" w:type="dxa"/>
        <w:jc w:val="left"/>
        <w:tblInd w:w="0" w:type="dxa"/>
        <w:tblCellMar>
          <w:top w:w="0" w:type="dxa"/>
          <w:left w:w="0" w:type="dxa"/>
          <w:bottom w:w="0" w:type="dxa"/>
          <w:right w:w="0" w:type="dxa"/>
        </w:tblCellMar>
      </w:tblPr>
      <w:tblGrid>
        <w:gridCol w:w="275"/>
        <w:gridCol w:w="4430"/>
      </w:tblGrid>
      <w:tr>
        <w:trPr/>
        <w:tc>
          <w:tcPr>
            <w:tcW w:w="275" w:type="dxa"/>
            <w:tcBorders/>
            <w:shd w:fill="auto" w:val="clear"/>
          </w:tcPr>
          <w:p>
            <w:pPr>
              <w:pStyle w:val="TableContents"/>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15.</w:t>
            </w:r>
          </w:p>
        </w:tc>
        <w:tc>
          <w:tcPr>
            <w:tcW w:w="4430" w:type="dxa"/>
            <w:tcBorders/>
            <w:shd w:fill="auto" w:val="clear"/>
          </w:tcPr>
          <w:p>
            <w:pPr>
              <w:pStyle w:val="TableContents"/>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Assignment, License and Collaboration Agreements </w:t>
            </w:r>
          </w:p>
        </w:tc>
      </w:tr>
    </w:tbl>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License Agreements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TERN-101 License Agreement with Eli Lilly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February 2018, the Company entered a worldwide exclusive license agreement with Eli Lilly and Company (Lilly) (Lilly FXR 2018 License Agreement). Under the terms of the Lilly FXR 2018 License Agreement, Lilly granted the Company an exclusive, royalty-bearing license to make, have made, use, offer for sale, sell, import, and have imported, including all rights to develop, manufacture, and commercialize covered products in the field in the territory and a sublicensing right that allows the Company to grant sublicenses to affiliates and third parties to perform any portion of the development, manufacture, and commercialization of covered products. The Company is required to use commercially reasonable efforts to meet development event milestones, develop the covered product in the field in mainland China and commercialize the covered product in the field in mainland China.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agreed to pay Lilly up to an aggregate of $6.0 million in pre-specified development milestones for the first covered product in mainland China, and up to an aggregate of $50.0 million in pre-specified development milestones for the first covered product in ex-mainland China. The Company also agreed to pay Lilly tiered royalties calculated on a calendar year basis, in the mid-single digits to low teens on net sales ranging from the low hundreds of millions of dollars to the low billions of dollars. The Lilly FXR 2018 License Agreement expires upon expiry of the last remaining royalty obligation for a licensed product. As of December 31, 2020, the Company has not paid any amounts under the agreement and no milestones have been achieved. The Company has not recorded any research and development expense during the years ended December 31, 2020 and 2019 related to this agreement.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TERN-201 License Agreement with Eli Lilly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2018, the Company entered into an exclusive license agreement with Lilly (Lilly VAP-1 2018 License Agreement). Under the terms of the Lilly VAP-1 2018 License Agreement, Lilly granted the Company an exclusive, royalty-bearing license to make, have made, use, offer for sale, sell, import, and have imported, including all rights to develop, manufacture, and commercialize covered products and a sublicensing right that allows the Company to grant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147</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sublicenses to affiliates and third parties to perform any portion of the development, manufacture, and commercialization of covered products. The Company will remain directly responsible for all amounts owed to Lilly, regardless of sublicenses. The Company is required to use commercially reasonable efforts to meet development events according to achievement due dates and commercialize the covered product in the field in the major markets.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paid Lilly a non-refundable, non-creditable upfront payment of $4.0 million, which was recorded as research and development expense in the Company’s statement of operations and comprehensive loss for the year ended December 31, 2018. In addition, pursuant to the terms of the Lilly VAP-1 2018 License Agreement, the Company agreed to pay Lilly up to an aggregate of $74.0 million in pre-specified development milestones for the first covered product, and up to an aggregate of $30.0 million in pre-specified development milestones for the second indication of a covered product. The Company must also pay Lilly tiered royalties calculated on a calendar year basis, in the mid-single digits to mid-teens on net sales ranging from the high tens of millions of dollars to the low billions of dollars. The Lilly VAP-1 2018 License Agreement expires upon expiry of the last remaining royalty obligation for a licensed product. As of December 31, 2020, the Company has paid $4.0 million to Lilly. No development milestones have been met as of the twelve months ended December 31, 2020. The Company has not recorded any research and development expense during the years ended December 31, 2020 and 2019 related to this agreement.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Assignment Agreement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June 2019, the Company entered into an assignment agreement with Vintagence Biotechnology Ltd. (Vintagence) (Vintagence 2019 Assignment Agreement). Under the terms of the Vintagence 2019 Assignment Agreement, Vintagence assigned and agreed to assign to the Company any and all worldwide rights, title, and interest in and to the Vintagence technology and gave Terns a sublicensing right that allows the Company to grant sublicenses to any of its affiliates and/or to licensees or contractors to perform any portion of the development, manufacture, and/or commercialization of covered compounds or covered products. The Company will remain directly responsible for all amounts owed to Vintagence under this agreement, regardless of sublicenses. The Company is required to use commercially reasonable efforts to commercialize the covered product in the field in the major markets.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paid Vintagence a non-refundable, non-creditable upfront payment of $0.7 million, which was recorded as research and development expense in the Company’s statements of operations and comprehensive loss for the year ended December 31, 2019. In addition, pursuant to the terms of the Vintagence 2019 Assignment Agreement, the Company agreed to pay Vintagence up to CNY 205.0 million in development milestones for the first covered product. The term of the Vintagence 2019 Assignment Agreement will continue in effect on a country-by-country basis until all milestone payments are made. The Company has the right to terminate the agreement in its entirety or on a covered product-by-covered product and country-by-country basis, in its sole discretion by giving 60 days advance written notice to Vintagence. As of December 31, 2020, the Company has paid $0.7 million to Vintagence. In connection with the Company’s 501 IND filing in December 2020, a milestone payment of CNY 10.0 million was due to Vintagence under the agreement. The milestone payment of $1.5 million is included in the consolidated balance sheet as of December 31, 2020 and is presented with accrued expenses and other current liabilities. The Company has recognized research and development expense of approximately $1.5 million and $0.7 million during the years ended December 31, 2020 and 2019, respectively, related to this agreement.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Hansoh Option and License Agreement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2020, the Company entered into an exclusive option and license agreement with Hansoh (Shanghai) Healthtech Co., Ltd. (Hansoh Healthtech) and Jiangsu Hansoh Pharmaceutical Group Company Ltd. (Jiangsu Hansoh) (collectively, Hansoh) (Hansoh 2020 Option and License Agreement). Under the terms of the Hansoh 2020 Option and License Agreement, the Company granted Hansoh an exclusive, non-transferable, non-sublicensable, fully-paid, royalty-free license to conduct preliminary studies on the licensed compound with an option to exclusively license the same for development and commercialization of licensed products in all prophylactic, palliative, therapeutic and/or diagnostic uses in connection with all human diseases and disorders (including development and research activities on animal models thereof) in the field of oncology, including all types of cancers (Field) in mainland China, Taiwan, Hong Kong and Macau (collectively, the Territory). Upon Hansoh’s exercising the option, the Company will grant to Hansoh and its affiliates, an irrevocable, royalty-bearing license, with the right to sublicense to exploit licensed compound and licensed products in the Field, defined as in the Territory.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148</w:t>
      </w:r>
    </w:p>
    <w:p>
      <w:pPr>
        <w:pStyle w:val="HorizontalLine"/>
        <w:rPr/>
      </w:pPr>
      <w:r>
        <w:rPr/>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TERNS PHARMACEUTICALS, INC.</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NOTES TO CONSOLIDATED FINANCIAL STATEMENTS </w:t>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Hansoh is required to pay the Company a refundable, non-creditable upfront payment of $1.0 million, provided that in the event Hansoh elects to not exercise the option, the Company shall refund the amount of the upfront payment within six months from the expiration or termination of the option period. If the Company does not pay the refund amount within six months, the refund amount will be regarded as a debt owed by the Company to Hansoh, secured against the number of common shares as is equal to the refund amount divided by the share price of such shares issued by the Company in the latest equity financing round before the refund amount is due. Interest on the refund amount is at a rate equal to 5% per annum over the then-current applicable federal rate, compounded annually and will continue to accrue until paid. Interest shall be computed on the basis of a year of 365 days for the actual number of days elapsed. The entire amount of accrued but unpaid interest and all outstanding principal shall be due and payable on or before the close of business on the fifth anniversary of the last day of the refund period. The Company received an upfront payment of $0.8 million during the year ended December 31, 2020, which is recognized as a refund liability on the balance sheet. The upfront payment is included in the Company’s consolidated balance sheet as of December 31, 2020 and is presented within accrued expenses and other current liabilities. The upfront payment and future payments are all constrained as of December 31, 2020.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pursuant to the Hansoh 2020 Option and License Agreement, Hansoh has agreed to pay the Company up to $67.0 million in pre-specified clinical, regulatory and sales milestones. Hansoh must also pay the Company royalties in the mid-single digits based on net sales of all licensed products. The term of the Hansoh 2020 Option and License Agreement will continue until the end of the last-to-expire royalty term. No milestones have been received to date.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Genfit Collaboration Agreement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June 2019, the Company entered into a collaboration agreement with Genfit SA (Genfit) (Genfit 2019 Collaboration Agreement). Under the Genfit 2019 Collaboration Agreement, Genfit agreed to grant the Company an exclusive license to develop, manufacture and commercialize any pharmaceutical product in any form suitable for oral administration to adults or children that contains elafibranor (drug product) in the Terns territory. Under the terms of the Genfit 2019 Collaboration Agreement, the Company paid Genfit a one-time, non-refundable, non-creditable upfront payment of $35.0 million, which was recorded as research and development expense in the Company’s statement of operations and comprehensive loss for the year ended December 31, 2019. In addition, the Company agreed to pay to Genfit up to an aggregate of $18.0 million in pre-specified development milestones, and up to an aggregate of $175.0 million in pre-specified commercial milestones. The Company also agreed to pay Genfit non-creditable, non-refundable royalties in the mid-teens, calculated on a product-by-licensed product and region-by-region basis, of all net sales. As of December 31, 2020, the Company has paid $35.0 million to Genfit under the agreement. The Company did not recognize any research and development expense during the year ended December 31, 2020 and recognized $35.0 million of research and development expense during the year ended December 31, 2019 related to this agreement. In May 2020, Genfit terminated its development program in NASH and, subsequently, the Company terminated its plans for NASH development work in China pursuant to the Genfit 2019 Collaboration Agreement. As a result, the Company does not anticipate making any milestone payments under the Genfit 2019 Collaboration Agreement in the foreseeable future.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47" w:name="ITEM_9_CHANGES_IN_DISAGREEMENTS_WITH_ACC"/>
      <w:bookmarkStart w:id="48" w:name="_AEIOULastRenderedPageBreakAEIOU24"/>
      <w:bookmarkEnd w:id="47"/>
      <w:bookmarkEnd w:id="48"/>
      <w:r>
        <w:rPr>
          <w:rFonts w:ascii="Times New Roman" w:hAnsi="Times New Roman"/>
          <w:b/>
          <w:i w:val="false"/>
          <w:caps w:val="false"/>
          <w:smallCaps w:val="false"/>
          <w:sz w:val="20"/>
        </w:rPr>
        <w:t>Item 9. Changes in and Disagreements With</w:t>
      </w:r>
      <w:bookmarkStart w:id="49" w:name="ITEM_9_CHANGES_IN_DISAGREEMENTS_WITH_ACC"/>
      <w:bookmarkEnd w:id="49"/>
      <w:r>
        <w:rPr>
          <w:rFonts w:ascii="Times New Roman" w:hAnsi="Times New Roman"/>
          <w:b/>
          <w:i w:val="false"/>
          <w:caps w:val="false"/>
          <w:smallCaps w:val="false"/>
          <w:sz w:val="20"/>
        </w:rPr>
        <w:t xml:space="preserve"> Accountants on Accounting and Financial Disclosure.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360" w:after="0"/>
        <w:jc w:val="both"/>
        <w:rPr>
          <w:rFonts w:ascii="Times New Roman" w:hAnsi="Times New Roman"/>
          <w:b/>
          <w:i w:val="false"/>
          <w:caps w:val="false"/>
          <w:smallCaps w:val="false"/>
          <w:sz w:val="20"/>
        </w:rPr>
      </w:pPr>
      <w:bookmarkStart w:id="50" w:name="ITEM_9A_CONTROLS_PROCEDURES"/>
      <w:bookmarkEnd w:id="50"/>
      <w:r>
        <w:rPr>
          <w:rFonts w:ascii="Times New Roman" w:hAnsi="Times New Roman"/>
          <w:b/>
          <w:i w:val="false"/>
          <w:caps w:val="false"/>
          <w:smallCaps w:val="false"/>
          <w:sz w:val="20"/>
        </w:rPr>
        <w:t xml:space="preserve">Item 9A. Controls and Procedures. </w:t>
      </w:r>
    </w:p>
    <w:p>
      <w:pPr>
        <w:pStyle w:val="TextBody"/>
        <w:shd w:fill="FFFFFF" w:val="clear"/>
        <w:spacing w:before="12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Conclusions Regarding the Effectiveness of Disclosure Controls and Procedures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management, with the supervision and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w:t>
      </w:r>
    </w:p>
    <w:p>
      <w:pPr>
        <w:pStyle w:val="TextBody"/>
        <w:shd w:fill="FFFFFF" w:val="clear"/>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2020, the design and operation of our disclosure controls and procedures were effective at a reasonable assurance level.</w:t>
      </w:r>
    </w:p>
    <w:p>
      <w:pPr>
        <w:pStyle w:val="TextBody"/>
        <w:shd w:fill="FFFFFF" w:val="clear"/>
        <w:spacing w:before="36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Changes in Internal Control over Financial Reporting</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There were no changes during the quarter ended December 31, 2020 to our internal control over financial reporting that have materially affected, or are reasonably likely to materially affect, our internal control over financial reporting.</w:t>
      </w:r>
    </w:p>
    <w:p>
      <w:pPr>
        <w:pStyle w:val="TextBody"/>
        <w:shd w:fill="FFFFFF" w:val="clear"/>
        <w:spacing w:before="36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Management’s Report on Internal Control over Financial Reporting</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pStyle w:val="TextBody"/>
        <w:spacing w:before="360" w:after="0"/>
        <w:jc w:val="both"/>
        <w:rPr>
          <w:rFonts w:ascii="Times New Roman" w:hAnsi="Times New Roman"/>
          <w:b/>
          <w:i w:val="false"/>
          <w:caps w:val="false"/>
          <w:smallCaps w:val="false"/>
          <w:sz w:val="20"/>
        </w:rPr>
      </w:pPr>
      <w:bookmarkStart w:id="51" w:name="ITEM_9B_OR_INFORMATION"/>
      <w:bookmarkEnd w:id="51"/>
      <w:r>
        <w:rPr>
          <w:rFonts w:ascii="Times New Roman" w:hAnsi="Times New Roman"/>
          <w:b/>
          <w:i w:val="false"/>
          <w:caps w:val="false"/>
          <w:smallCaps w:val="false"/>
          <w:sz w:val="20"/>
        </w:rPr>
        <w:t xml:space="preserve">Item 9B. Other Information.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p>
      <w:pPr>
        <w:pStyle w:val="TextBody"/>
        <w:spacing w:before="0" w:after="0"/>
        <w:jc w:val="both"/>
        <w:rPr/>
      </w:pPr>
      <w:r>
        <w:rPr/>
        <w:t> </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52" w:name="Part_III"/>
      <w:bookmarkEnd w:id="52"/>
      <w:r>
        <w:rPr>
          <w:rFonts w:ascii="Times New Roman" w:hAnsi="Times New Roman"/>
          <w:b/>
          <w:i w:val="false"/>
          <w:caps w:val="false"/>
          <w:smallCaps w:val="false"/>
          <w:sz w:val="20"/>
        </w:rPr>
        <w:t xml:space="preserve">PART III </w:t>
      </w:r>
    </w:p>
    <w:p>
      <w:pPr>
        <w:pStyle w:val="TextBody"/>
        <w:spacing w:before="240" w:after="0"/>
        <w:rPr>
          <w:rFonts w:ascii="Times New Roman" w:hAnsi="Times New Roman"/>
          <w:b/>
          <w:i w:val="false"/>
          <w:caps w:val="false"/>
          <w:smallCaps w:val="false"/>
          <w:sz w:val="20"/>
        </w:rPr>
      </w:pPr>
      <w:bookmarkStart w:id="53" w:name="ITEM_10_DIRECTORS_EXECUTIVE_FICERS_CORPO"/>
      <w:bookmarkEnd w:id="53"/>
      <w:r>
        <w:rPr>
          <w:rFonts w:ascii="Times New Roman" w:hAnsi="Times New Roman"/>
          <w:b/>
          <w:i w:val="false"/>
          <w:caps w:val="false"/>
          <w:smallCaps w:val="false"/>
          <w:sz w:val="20"/>
        </w:rPr>
        <w:t xml:space="preserve">Item 10. Directors, Executive Officers and Corporate Governance.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information regarding our executive officers and directors as of March 19, 2021: </w:t>
      </w:r>
    </w:p>
    <w:p>
      <w:pPr>
        <w:pStyle w:val="TextBody"/>
        <w:spacing w:before="0" w:after="0"/>
        <w:rPr/>
      </w:pPr>
      <w:r>
        <w:rPr/>
        <w:t> </w:t>
      </w:r>
    </w:p>
    <w:tbl>
      <w:tblPr>
        <w:tblW w:w="7395" w:type="dxa"/>
        <w:jc w:val="center"/>
        <w:tblInd w:w="0" w:type="dxa"/>
        <w:tblCellMar>
          <w:top w:w="0" w:type="dxa"/>
          <w:left w:w="0" w:type="dxa"/>
          <w:bottom w:w="28" w:type="dxa"/>
          <w:right w:w="0" w:type="dxa"/>
        </w:tblCellMar>
      </w:tblPr>
      <w:tblGrid>
        <w:gridCol w:w="2330"/>
        <w:gridCol w:w="60"/>
        <w:gridCol w:w="78"/>
        <w:gridCol w:w="302"/>
        <w:gridCol w:w="60"/>
        <w:gridCol w:w="60"/>
        <w:gridCol w:w="4505"/>
      </w:tblGrid>
      <w:tr>
        <w:trPr/>
        <w:tc>
          <w:tcPr>
            <w:tcW w:w="23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POSITION(S)</w:t>
            </w:r>
          </w:p>
        </w:tc>
      </w:tr>
      <w:tr>
        <w:trPr/>
        <w:tc>
          <w:tcPr>
            <w:tcW w:w="233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Executive Officers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Senthil Sundaram</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Executive Officer and Director</w:t>
            </w:r>
          </w:p>
        </w:tc>
      </w:tr>
      <w:tr>
        <w:trPr/>
        <w:tc>
          <w:tcPr>
            <w:tcW w:w="23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Erin Quirk, M.D.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Medical Officer</w:t>
            </w:r>
          </w:p>
        </w:tc>
      </w:tr>
      <w:tr>
        <w:trPr/>
        <w:tc>
          <w:tcPr>
            <w:tcW w:w="23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 Vignola,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Officer and Treasurer</w:t>
            </w:r>
          </w:p>
        </w:tc>
      </w:tr>
      <w:tr>
        <w:trPr/>
        <w:tc>
          <w:tcPr>
            <w:tcW w:w="23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Bryan Yoon, Esq.</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Operating Officer, General Counsel and Secretary</w:t>
            </w:r>
          </w:p>
        </w:tc>
      </w:tr>
      <w:tr>
        <w:trPr/>
        <w:tc>
          <w:tcPr>
            <w:tcW w:w="23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Weidong Zhong,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Scientific Officer and Director</w:t>
            </w:r>
          </w:p>
        </w:tc>
      </w:tr>
      <w:tr>
        <w:trPr/>
        <w:tc>
          <w:tcPr>
            <w:tcW w:w="23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Non-Employee Directors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David Fellows(2)(3)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Chairman of the Board</w:t>
            </w:r>
          </w:p>
        </w:tc>
      </w:tr>
      <w:tr>
        <w:trPr/>
        <w:tc>
          <w:tcPr>
            <w:tcW w:w="2330" w:type="dxa"/>
            <w:tcBorders/>
            <w:shd w:fill="CFF0FC"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Carl Gordon, Ph.D., C.F.A(3)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r>
      <w:tr>
        <w:trPr/>
        <w:tc>
          <w:tcPr>
            <w:tcW w:w="2330"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Jeffrey Kindler, Esq.(1)(2)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r>
      <w:tr>
        <w:trPr/>
        <w:tc>
          <w:tcPr>
            <w:tcW w:w="2330" w:type="dxa"/>
            <w:tcBorders/>
            <w:shd w:fill="CFF0FC"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Hongbo Lu, Ph.D.(1)(2)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r>
      <w:tr>
        <w:trPr/>
        <w:tc>
          <w:tcPr>
            <w:tcW w:w="2330"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Jill Quigley, Esq.(1)(3)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r>
    </w:tbl>
    <w:p>
      <w:pPr>
        <w:pStyle w:val="TextBody"/>
        <w:pBdr>
          <w:bottom w:val="single" w:sz="6" w:space="1" w:color="000000"/>
        </w:pBdr>
        <w:spacing w:before="0" w:after="0"/>
        <w:rPr/>
      </w:pPr>
      <w:r>
        <w:rPr/>
        <w:t> </w:t>
      </w:r>
    </w:p>
    <w:tbl>
      <w:tblPr>
        <w:tblW w:w="2920" w:type="dxa"/>
        <w:jc w:val="left"/>
        <w:tblInd w:w="0" w:type="dxa"/>
        <w:tblCellMar>
          <w:top w:w="0" w:type="dxa"/>
          <w:left w:w="0" w:type="dxa"/>
          <w:bottom w:w="0" w:type="dxa"/>
          <w:right w:w="0" w:type="dxa"/>
        </w:tblCellMar>
      </w:tblPr>
      <w:tblGrid>
        <w:gridCol w:w="245"/>
        <w:gridCol w:w="2675"/>
      </w:tblGrid>
      <w:tr>
        <w:trPr/>
        <w:tc>
          <w:tcPr>
            <w:tcW w:w="24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267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Member of our audit committee. </w:t>
            </w:r>
          </w:p>
        </w:tc>
      </w:tr>
    </w:tbl>
    <w:tbl>
      <w:tblPr>
        <w:tblW w:w="3640" w:type="dxa"/>
        <w:jc w:val="left"/>
        <w:tblInd w:w="0" w:type="dxa"/>
        <w:tblCellMar>
          <w:top w:w="0" w:type="dxa"/>
          <w:left w:w="0" w:type="dxa"/>
          <w:bottom w:w="0" w:type="dxa"/>
          <w:right w:w="0" w:type="dxa"/>
        </w:tblCellMar>
      </w:tblPr>
      <w:tblGrid>
        <w:gridCol w:w="245"/>
        <w:gridCol w:w="3395"/>
      </w:tblGrid>
      <w:tr>
        <w:trPr/>
        <w:tc>
          <w:tcPr>
            <w:tcW w:w="24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339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Member of our compensation committee. </w:t>
            </w:r>
          </w:p>
        </w:tc>
      </w:tr>
    </w:tbl>
    <w:tbl>
      <w:tblPr>
        <w:tblW w:w="5590" w:type="dxa"/>
        <w:jc w:val="left"/>
        <w:tblInd w:w="0" w:type="dxa"/>
        <w:tblCellMar>
          <w:top w:w="0" w:type="dxa"/>
          <w:left w:w="0" w:type="dxa"/>
          <w:bottom w:w="0" w:type="dxa"/>
          <w:right w:w="0" w:type="dxa"/>
        </w:tblCellMar>
      </w:tblPr>
      <w:tblGrid>
        <w:gridCol w:w="245"/>
        <w:gridCol w:w="5345"/>
      </w:tblGrid>
      <w:tr>
        <w:trPr/>
        <w:tc>
          <w:tcPr>
            <w:tcW w:w="24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534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Member of our nominating and corporate governance committee. </w:t>
            </w:r>
          </w:p>
        </w:tc>
      </w:tr>
    </w:tbl>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Executive Officers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Senthil Sundaram </w:t>
      </w:r>
      <w:r>
        <w:rPr>
          <w:rFonts w:ascii="Times New Roman" w:hAnsi="Times New Roman"/>
          <w:b w:val="false"/>
          <w:i w:val="false"/>
          <w:caps w:val="false"/>
          <w:smallCaps w:val="false"/>
          <w:sz w:val="20"/>
        </w:rPr>
        <w:t xml:space="preserve">has served as a member of our board of directors and as our Chief Executive Officer since July 2020. Previously, he served as the Chief Financial Officer of Nightstar Therapeutics, plc, a publicly-traded biotechnology company, from April 2017 to June 2019. From February 2013 to March 2017, Mr. Sundaram served in roles of increasing responsibility at Intercept Pharmaceuticals, Inc., a publicly-traded biotechnology company, most recently as the Head of Business Development. He currently serves on the board of directors of Sio Gene Therapies, Inc. (formerly Axovant Gene Therapies Ltd.), a publicly-traded biotechnology company. Mr. Sundaram received his undergraduate degrees in Computer Engineering and Economics from Brown University. We believe Mr. Sundaram is qualified to serve on our board of directors due to his extensive experience as an executive and director of public companies in the biotechnology industry.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Erin Quirk, M.D. </w:t>
      </w:r>
      <w:r>
        <w:rPr>
          <w:rFonts w:ascii="Times New Roman" w:hAnsi="Times New Roman"/>
          <w:b w:val="false"/>
          <w:i w:val="false"/>
          <w:caps w:val="false"/>
          <w:smallCaps w:val="false"/>
          <w:sz w:val="20"/>
        </w:rPr>
        <w:t xml:space="preserve">has served as our Chief Medical Officer since January 2019, and our President since June 2020. She previously served in roles of increasing responsibility at Gilead Sciences, Inc., a publicly-traded biopharmaceutical company, from July 2010 to September 2018, most recently as Vice President of HIV Clinical Research. Dr. Quirk received her undergraduate degree in Biology and English Literature from Drew University and her M.D. from the University of Colorado School of Medicine. She completed her Residency in Internal Medicine and a Fellowship in Infectious Diseases at Barnes-Jewish Hospital, Washington University.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Mark Vignola, Ph.D. </w:t>
      </w:r>
      <w:r>
        <w:rPr>
          <w:rFonts w:ascii="Times New Roman" w:hAnsi="Times New Roman"/>
          <w:b w:val="false"/>
          <w:i w:val="false"/>
          <w:caps w:val="false"/>
          <w:smallCaps w:val="false"/>
          <w:sz w:val="20"/>
        </w:rPr>
        <w:t xml:space="preserve">has served as our Chief Financial Officer since August 2020 and Treasurer since January 2021. Previously, he served as the Chief Financial Officer of Applied Therapeutics, Inc., a publicly-traded biotechnology company, from April 2019 to May 2020. Before that, Dr. Vignola served in roles of increasing responsibility at Intercept Pharmaceuticals, Inc., a publicly-traded biotechnology company, most recently as the Head of Corporate and Investor Relations. Dr. Vignola received his undergraduate degree in Biology from Boston College and Ph.D. in Molecular Genetics &amp; Microbiology from Duke University.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Bryan Yoon, Esq. </w:t>
      </w:r>
      <w:r>
        <w:rPr>
          <w:rFonts w:ascii="Times New Roman" w:hAnsi="Times New Roman"/>
          <w:b w:val="false"/>
          <w:i w:val="false"/>
          <w:caps w:val="false"/>
          <w:smallCaps w:val="false"/>
          <w:sz w:val="20"/>
        </w:rPr>
        <w:t xml:space="preserve">has served as our Chief Operating Officer and General Counsel since November 2020 and Secretary since January 2021. From November 2019 to November 2020, he served as the Chief Administrative Officer, General Counsel and Secretary of LogicBio Therapeutics, Inc. a publicly-traded biotechnology company. Before that,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151</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i/>
          <w:caps w:val="false"/>
          <w:smallCaps w:val="false"/>
          <w:sz w:val="20"/>
        </w:rPr>
      </w:pPr>
      <w:r>
        <w:rPr>
          <w:rFonts w:ascii="Times New Roman" w:hAnsi="Times New Roman"/>
          <w:b w:val="false"/>
          <w:i w:val="false"/>
          <w:caps w:val="false"/>
          <w:smallCaps w:val="false"/>
          <w:sz w:val="20"/>
        </w:rPr>
        <w:t>he served as the General Counsel and Corporate Secretary at Nightstar</w:t>
      </w:r>
      <w:r>
        <w:rPr>
          <w:rFonts w:ascii="Times New Roman" w:hAnsi="Times New Roman"/>
          <w:b/>
          <w:i/>
          <w:caps w:val="false"/>
          <w:smallCaps w:val="false"/>
          <w:sz w:val="20"/>
        </w:rPr>
        <w:t xml:space="preserve"> </w:t>
      </w:r>
      <w:r>
        <w:rPr>
          <w:rFonts w:ascii="Times New Roman" w:hAnsi="Times New Roman"/>
          <w:b w:val="false"/>
          <w:i w:val="false"/>
          <w:caps w:val="false"/>
          <w:smallCaps w:val="false"/>
          <w:sz w:val="20"/>
        </w:rPr>
        <w:t xml:space="preserve">Therapeutics, plc, a publicly-traded biotechnology company, from November 2017 to June 2019. Prior to joining Nightstar, Mr. Yoon served in roles of increasing responsibility at Intercept Pharmaceuticals, Inc., a publicly-traded biotechnology company, where he most recently was Senior Vice President, Legal Affairs and Corporate Secretary. Mr. Yoon received his undergraduate degree in Economics and Master of Engineering in Operations Research and Industrial Engineering from Cornell University and his J.D. from University of Michigan Law School.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Weidong Zhong, Ph.D. </w:t>
      </w:r>
      <w:r>
        <w:rPr>
          <w:rFonts w:ascii="Times New Roman" w:hAnsi="Times New Roman"/>
          <w:b w:val="false"/>
          <w:i w:val="false"/>
          <w:caps w:val="false"/>
          <w:smallCaps w:val="false"/>
          <w:sz w:val="20"/>
        </w:rPr>
        <w:t xml:space="preserve">has served as our Chief Scientific Officer since July 2020 and a member of our board of directors since April 2017, and is one of our founders. He previously served as our Chief Executive Officer from April 2017 to July 2020. Before that, Dr. Zhong served as the Head of Antiviral Research from September 2011 to March 2017 at Novartis Institute for BioMedical Research, a research division of Novartis International AG, a publicly-traded biotechnology company. Dr. Zhong received his undergraduate degree in Molecular Biology from the University of Science and Technology of China and his Ph.D. in Biochemistry from the University of Wisconsin, Madison. We believe Dr. Zhong is qualified to serve on our board of directors due to his scientific expertise and his experience as an executive in drug discovery and development in the biotechnology industry, as well as his experience as a founding member of our company. </w:t>
      </w:r>
    </w:p>
    <w:p>
      <w:pPr>
        <w:pStyle w:val="TextBody"/>
        <w:spacing w:before="360" w:after="0"/>
        <w:ind w:left="72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t>Non-Employee Directors</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David Fellows </w:t>
      </w:r>
      <w:r>
        <w:rPr>
          <w:rFonts w:ascii="Times New Roman" w:hAnsi="Times New Roman"/>
          <w:b w:val="false"/>
          <w:i w:val="false"/>
          <w:caps w:val="false"/>
          <w:smallCaps w:val="false"/>
          <w:sz w:val="20"/>
        </w:rPr>
        <w:t xml:space="preserve">has served as a member of our board of directors since December 2020 and as chairman of our board of directors since February 2021. Mr. Fellows served as the Chief Executive Officer and board member of Nightstar Therapeutics plc, a publicly-traded biotechnology company, from January 2015, and as a member of its board of directors from September 2017, until its acquisition by Biogen Inc., a publicly-traded biotechnology company, in July 2019. Before that, he served as the Vice President of Vision Care at Johnson &amp; Johnson, from September 2005 to December 2014. Mr. Fellows serves on the boards of directors of Gyroscope Therapeutics, Jaguar Gene Therapy and Oxular Ltd. Mr. Fellows has also served on the board of the non-profit Glaucoma Foundation since May 2006. Mr. Fellows received his undergraduate degree in Psychology from Butler University. We believe Mr. Fellows is qualified to serve on our board of directors due to his extensive experience as an executive of companies in the biotechnology industry.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Carl Gordon, Ph.D., CFA </w:t>
      </w:r>
      <w:r>
        <w:rPr>
          <w:rFonts w:ascii="Times New Roman" w:hAnsi="Times New Roman"/>
          <w:b w:val="false"/>
          <w:i w:val="false"/>
          <w:caps w:val="false"/>
          <w:smallCaps w:val="false"/>
          <w:sz w:val="20"/>
        </w:rPr>
        <w:t xml:space="preserve">has served as a member of our board of directors since October 2018. Dr. Gordon is a founding member and has served as Managing Partner and Co-Head of OrbiMed Advisors LLC, an investment firm, since 1998. Dr. Gordon currently serves on the boards of directors of Adicet Bio, Inc., Compass Therapeutics Inc., Gemini Therapeutics Inc., Keros Therapeutics, Inc., Kinnate Biopharma, Inc., and ORIC Pharmaceuticals, Inc., all publicly-traded companies, as well as several private companies. Dr. Gordon previously served on the boards of directors of several biopharmaceutical companies, including Alector, Inc., ARMO Biosciences, Inc., Arsanis, Inc. (which merged with X4 Pharmaceuticals, Inc.), Intellia Therapeutics, Inc., Passage Bio, Inc., Prevail Therapeutics Inc., Selecta Biosciences, Inc., SpringWorks Therapeutics, Inc., and Turning Point Therapeutics, Inc. Dr. Gordon received his undergraduate degree in Chemistry from Harvard College, his Ph.D. in Molecular Biology from the Massachusetts Institute of Technology and was a Fellow at The Rockefeller University. We believe that Dr. Gordon is qualified to serve on our board of directors due to his scientific expertise, extensive business experience and experience in venture capital and the life science industry.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Jeffrey Kindler, Esq. </w:t>
      </w:r>
      <w:r>
        <w:rPr>
          <w:rFonts w:ascii="Times New Roman" w:hAnsi="Times New Roman"/>
          <w:b w:val="false"/>
          <w:i w:val="false"/>
          <w:caps w:val="false"/>
          <w:smallCaps w:val="false"/>
          <w:sz w:val="20"/>
        </w:rPr>
        <w:t xml:space="preserve">has served as a member of our board of directors since December 2020. Mr. Kindler has served as an operating partner of ARTIS Ventures, a venture investment firm, since January 2020, Senior Advisor to Blackstone, an investment firm, since June 2020, and as the Chief Executive Officer of Centrexion Therapeutics, a private biopharmaceutical company, since October 2013. Mr. Kindler has served on the board of directors of Perrigo Company plc since February 2017, PPD, Inc. from March 2012 and Precigen, Inc. since November 2011, all publicly-traded companies. Mr. Kindler previously served on the board of vTv Therapeutics Inc., a publicly-traded biotechnology company, from July 2015 to December 2020 and SIGA Technologies, Inc., a publicly-traded pharmaceutical company, from March 2013 to June 2020. Mr. Kindler received his undergraduate degree from Tufts University and J.D. from Harvard University. We believe Mr. Kindler is qualified to serve on our board of directors due to his extensive experience as an executive and director of companies in the biotechnology industry.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Hongbo Lu, Ph.D. </w:t>
      </w:r>
      <w:r>
        <w:rPr>
          <w:rFonts w:ascii="Times New Roman" w:hAnsi="Times New Roman"/>
          <w:b w:val="false"/>
          <w:i w:val="false"/>
          <w:caps w:val="false"/>
          <w:smallCaps w:val="false"/>
          <w:sz w:val="20"/>
        </w:rPr>
        <w:t xml:space="preserve">has served as a member of our board of directors since April 2020. She has served as a Managing Partner at Vivo Capital, a healthcare investment firm, since January 2021. She previously served as 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152</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i/>
          <w:caps w:val="false"/>
          <w:smallCaps w:val="false"/>
          <w:sz w:val="20"/>
        </w:rPr>
      </w:pPr>
      <w:r>
        <w:rPr>
          <w:rFonts w:ascii="Times New Roman" w:hAnsi="Times New Roman"/>
          <w:b w:val="false"/>
          <w:i w:val="false"/>
          <w:caps w:val="false"/>
          <w:smallCaps w:val="false"/>
          <w:sz w:val="20"/>
        </w:rPr>
        <w:t>Managing Partner of Lilly Asia Ventures, a venture capital firm, from January 2017 to December 2020. From June 2011 to October 2016, she served as a Managing Director at OrbiMed</w:t>
      </w:r>
      <w:r>
        <w:rPr>
          <w:rFonts w:ascii="Times New Roman" w:hAnsi="Times New Roman"/>
          <w:b/>
          <w:i/>
          <w:caps w:val="false"/>
          <w:smallCaps w:val="false"/>
          <w:sz w:val="20"/>
        </w:rPr>
        <w:t xml:space="preserve"> </w:t>
      </w:r>
      <w:r>
        <w:rPr>
          <w:rFonts w:ascii="Times New Roman" w:hAnsi="Times New Roman"/>
          <w:b w:val="false"/>
          <w:i w:val="false"/>
          <w:caps w:val="false"/>
          <w:smallCaps w:val="false"/>
          <w:sz w:val="20"/>
        </w:rPr>
        <w:t>Advisors LLC. Dr. Lu currently serves on the board of directors of several private biotechnology companies, such as PINS Medical, Inc., Elpiscience</w:t>
      </w:r>
      <w:r>
        <w:rPr>
          <w:rFonts w:ascii="Times New Roman" w:hAnsi="Times New Roman"/>
          <w:b/>
          <w:i/>
          <w:caps w:val="false"/>
          <w:smallCaps w:val="false"/>
          <w:sz w:val="20"/>
        </w:rPr>
        <w:t xml:space="preserve"> </w:t>
      </w:r>
      <w:r>
        <w:rPr>
          <w:rFonts w:ascii="Times New Roman" w:hAnsi="Times New Roman"/>
          <w:b w:val="false"/>
          <w:i w:val="false"/>
          <w:caps w:val="false"/>
          <w:smallCaps w:val="false"/>
          <w:sz w:val="20"/>
        </w:rPr>
        <w:t xml:space="preserve">and Geneception. She previously served on the board of directors of public companies including Turning Point Therapeutics, Inc., a publicly-traded biotechnology company, from May 2017 to May 2019, and on the board of directors of Avedro, Inc., a publicly-traded biotechnology company, from May 2018 to February 2019. Dr. Lu received her undergraduate degree in Material Science and Engineering from Tsinghua University, China, her Ph.D. in Biological Engineering from the University of Washington and her MBA from the University of California, Berkeley. We believe Dr. Lu is qualified to serve on our board of directors due to her experience as a director of public and private companies in the biotechnology industry and experience in venture capital and the life science industry.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Jill Quigley, Esq. </w:t>
      </w:r>
      <w:r>
        <w:rPr>
          <w:rFonts w:ascii="Times New Roman" w:hAnsi="Times New Roman"/>
          <w:b w:val="false"/>
          <w:i w:val="false"/>
          <w:caps w:val="false"/>
          <w:smallCaps w:val="false"/>
          <w:sz w:val="20"/>
        </w:rPr>
        <w:t xml:space="preserve">has served as a member of our board of directors since December 2020. Ms. Quigley has served as the Chief Operating Officer of Passage Bio, a publicly-traded biopharmaceutical company, since November 2018. Previously, she served as the Interim Chief Executive Officer and General Counsel of Nutrinia, Inc., from January 2016 to November 2018. From July 2012 to January 2016, Ms. Quigley served in various roles at Shire plc, most recently as Senior Legal Counsel. Ms. Quigley received her undergraduate degree in Communications, Legal Institutions, Economics &amp; Governance (CLEG) from American University and J.D. from Rutgers School of Law. We believe Ms. Quigley is qualified to serve on our board of directors due to her extensive experience as an executive of companies in the biotechnology industry.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Family Relationships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are no family relationships among any of our executive officers or directors.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Delinquent Section 16(a) Reports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16(a) of the Exchange Act requires our directors, executive officers, and persons holding more than 10% of our common stock to report their initial ownership of the common stock and other equity securities and any changes in that ownership in reports that must be filed with the SEC. The SEC has designated specific deadlines for these reports, and we must identify in our Annual Report on Form 10-K those persons who did not file these reports when due.</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were not subject to the filing requirements of Section 16(a) of the Exchange Act in 2020.</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Board Composition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Classified Board of Directors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accordance with our amended and restated certificate of incorporation, our board of directors is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are divided among the three classes as follows: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Class I directors are Carl Gordon, Hongbo Lu and Weidong Zhong, and their terms will expire at the annual meeting of stockholders to be held in 2022;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Class II directors are David Fellows and Jill Quigley, and their terms will expire at the annual meeting of stockholders to be held in 2023;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Class III directors are Jeffrey Kindler and Senthil Sundaram, and their terms will expire at the annual meeting of stockholders to be held in 2024.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division of our board of directors into three classes with staggered three-year terms may delay or prevent a change of our management or a change in control.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153</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Audit Committee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audit committee oversees our corporate accounting and financial reporting process. Among other matters, the audit committee: </w:t>
      </w:r>
    </w:p>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9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appoints our independent registered public accounting firm; </w:t>
            </w:r>
          </w:p>
        </w:tc>
      </w:tr>
    </w:tbl>
    <w:tbl>
      <w:tblPr>
        <w:tblW w:w="9100" w:type="dxa"/>
        <w:jc w:val="left"/>
        <w:tblInd w:w="0" w:type="dxa"/>
        <w:tblCellMar>
          <w:top w:w="0" w:type="dxa"/>
          <w:left w:w="0" w:type="dxa"/>
          <w:bottom w:w="0" w:type="dxa"/>
          <w:right w:w="0" w:type="dxa"/>
        </w:tblCellMar>
      </w:tblPr>
      <w:tblGrid>
        <w:gridCol w:w="60"/>
        <w:gridCol w:w="110"/>
        <w:gridCol w:w="89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9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evaluates the independent registered public accounting firm’s qualifications, independence and performance; </w:t>
            </w:r>
          </w:p>
        </w:tc>
      </w:tr>
    </w:tbl>
    <w:tbl>
      <w:tblPr>
        <w:tblW w:w="6835" w:type="dxa"/>
        <w:jc w:val="left"/>
        <w:tblInd w:w="0" w:type="dxa"/>
        <w:tblCellMar>
          <w:top w:w="0" w:type="dxa"/>
          <w:left w:w="0" w:type="dxa"/>
          <w:bottom w:w="0" w:type="dxa"/>
          <w:right w:w="0" w:type="dxa"/>
        </w:tblCellMar>
      </w:tblPr>
      <w:tblGrid>
        <w:gridCol w:w="60"/>
        <w:gridCol w:w="110"/>
        <w:gridCol w:w="66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6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determines the engagement of the independent registered public accounting firm; </w:t>
            </w:r>
          </w:p>
        </w:tc>
      </w:tr>
    </w:tbl>
    <w:tbl>
      <w:tblPr>
        <w:tblW w:w="9205" w:type="dxa"/>
        <w:jc w:val="left"/>
        <w:tblInd w:w="0" w:type="dxa"/>
        <w:tblCellMar>
          <w:top w:w="0" w:type="dxa"/>
          <w:left w:w="0" w:type="dxa"/>
          <w:bottom w:w="0" w:type="dxa"/>
          <w:right w:w="0" w:type="dxa"/>
        </w:tblCellMar>
      </w:tblPr>
      <w:tblGrid>
        <w:gridCol w:w="60"/>
        <w:gridCol w:w="110"/>
        <w:gridCol w:w="9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reviews and approves the scope of the annual audit and pre-approves the audit and non-audit fees and services; </w:t>
            </w:r>
          </w:p>
        </w:tc>
      </w:tr>
    </w:tbl>
    <w:tbl>
      <w:tblPr>
        <w:tblW w:w="6055" w:type="dxa"/>
        <w:jc w:val="left"/>
        <w:tblInd w:w="0" w:type="dxa"/>
        <w:tblCellMar>
          <w:top w:w="0" w:type="dxa"/>
          <w:left w:w="0" w:type="dxa"/>
          <w:bottom w:w="0" w:type="dxa"/>
          <w:right w:w="0" w:type="dxa"/>
        </w:tblCellMar>
      </w:tblPr>
      <w:tblGrid>
        <w:gridCol w:w="60"/>
        <w:gridCol w:w="110"/>
        <w:gridCol w:w="58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8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reviews and approves all related party transactions on an ongoing basis;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establishes procedures for the receipt, retention and treatment of any complaints received by us regarding accounting, internal accounting controls or auditing matters;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discusses with management and the independent registered public accounting firm the results of the annual audit and the review of our quarterly financial statements;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approves the retention of the independent registered public accounting firm to perform any proposed permissible non-audit services;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discusses on a periodic basis, or as appropriate, with our management’s policies and procedures with respect to risk assessment and risk management; </w:t>
            </w:r>
          </w:p>
        </w:tc>
      </w:tr>
    </w:tbl>
    <w:tbl>
      <w:tblPr>
        <w:tblW w:w="8110" w:type="dxa"/>
        <w:jc w:val="left"/>
        <w:tblInd w:w="0" w:type="dxa"/>
        <w:tblCellMar>
          <w:top w:w="0" w:type="dxa"/>
          <w:left w:w="0" w:type="dxa"/>
          <w:bottom w:w="0" w:type="dxa"/>
          <w:right w:w="0" w:type="dxa"/>
        </w:tblCellMar>
      </w:tblPr>
      <w:tblGrid>
        <w:gridCol w:w="60"/>
        <w:gridCol w:w="110"/>
        <w:gridCol w:w="79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94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consults with management to establish procedures and internal controls relating to cybersecurity;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is responsible for reviewing our financial statements and our management’s discussion and analysis of financial condition and results of operations to be included in our annual and quarterly reports to be filed with the SEC;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investigates any reports received through the ethics helpline and reports to the board of directors periodically with respect to any information received through the ethics helpline and any related investigations; and </w:t>
            </w:r>
          </w:p>
        </w:tc>
      </w:tr>
    </w:tbl>
    <w:tbl>
      <w:tblPr>
        <w:tblW w:w="7900" w:type="dxa"/>
        <w:jc w:val="left"/>
        <w:tblInd w:w="0" w:type="dxa"/>
        <w:tblCellMar>
          <w:top w:w="0" w:type="dxa"/>
          <w:left w:w="0" w:type="dxa"/>
          <w:bottom w:w="0" w:type="dxa"/>
          <w:right w:w="0" w:type="dxa"/>
        </w:tblCellMar>
      </w:tblPr>
      <w:tblGrid>
        <w:gridCol w:w="60"/>
        <w:gridCol w:w="110"/>
        <w:gridCol w:w="77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7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reviews the audit committee charter and the audit committee’s performance on an annual basis.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audit committee consists of Jill Quigley, Jeffrey Kindler and Hongbo Lu. Our board of directors has determined that all members are independent under the Nasdaq Listing Rules and Rule 10A-3(b)(1) of the Exchange Act. The chair of our audit committee is Ms. Quigley. Our board of directors has determined that Mr. Kindler is an “audit committee financial expert” as such term is currently defined in Item 407(d)(5) of Regulation S-K. Our board of directors has also determined that each member of our audit committee can read and understand fundamental consolidated financial statements, in accordance with applicable requirements.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Compensation Committee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compensation committee oversees policies relating to compensation and benefits of our officers and employees. The compensation committee reviews and approves or recommends corporate goals and objectives relevant to compensation of our executive officers (other than our Chief Executive Officer), evaluates the performance of these officers in light of those goals and objectives and approves the compensation of these officers based on such evaluations. The compensation committee also reviews and approves or makes recommendations to our board of directors regarding the issuance of stock options and other awards under our stock plans to our executive officers (other than our Chief Executive Officer). The compensation committee reviews the performance of our Chief Executive Officer and makes recommendations to our board of directors with respect to his compensation, and our board of directors retains the authority to make compensation decisions relative to our Chief Executive Officer. The compensation committee will review and evaluate, on an annual basis, the compensation committee charter and the compensation committee’s performance.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compensation committee consists of Jeffrey Kindler, David Fellows and Hongbo Lu. Our board of directors has determined that all members are independent under the Nasdaq Listing Rules and are “non-employee directors” as defined in Rule 16b-3 promulgated under the Exchange Act. The chair of our compensation committee is Mr. Kindler.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Nominating and Corporate Governance Committee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making recommendations to our board of directors concerning governance matters.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nominating and corporate governance committee consists of David Fellows, Jill Quigley and Carl Gordon. Our board of directors has determined that all members of the nominating and corporate governance committee are independent under the Nasdaq Listing Rules. The chair of our nominating and corporate governance committee is Mr. Fellows.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Code of Business Conduct and Ethics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of directors has adopted a code of business conduct and ethics that applies to all of our employees, officers and directors, including those officers responsible for financial reporting. The full text of our code of business conduct and ethics is available on our website at ir.ternspharma.com under “Corporate Governance.” Any substantive amendment to, or waiver of, a provision of the code of business conduct and ethics that applies to our principal executive officer, principal financial officer, principal accounting officer or controller or persons performing similar functions, will be disclosed on our website. </w:t>
      </w:r>
    </w:p>
    <w:p>
      <w:pPr>
        <w:pStyle w:val="TextBody"/>
        <w:spacing w:before="360" w:after="0"/>
        <w:rPr>
          <w:rFonts w:ascii="Times New Roman" w:hAnsi="Times New Roman"/>
          <w:b/>
          <w:i w:val="false"/>
          <w:caps w:val="false"/>
          <w:smallCaps w:val="false"/>
          <w:sz w:val="20"/>
        </w:rPr>
      </w:pPr>
      <w:bookmarkStart w:id="54" w:name="ITEM_11_EXECUTIVE_COMPENSATION"/>
      <w:bookmarkEnd w:id="54"/>
      <w:r>
        <w:rPr>
          <w:rFonts w:ascii="Times New Roman" w:hAnsi="Times New Roman"/>
          <w:b/>
          <w:i w:val="false"/>
          <w:caps w:val="false"/>
          <w:smallCaps w:val="false"/>
          <w:sz w:val="20"/>
        </w:rPr>
        <w:t xml:space="preserve">Item 11. Executive Compensation.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section discusses the material components of the executive compensation program for our 2020 named executive officers. Our named executive officers for fiscal year 2020 were: </w:t>
      </w:r>
    </w:p>
    <w:tbl>
      <w:tblPr>
        <w:tblW w:w="4060" w:type="dxa"/>
        <w:jc w:val="left"/>
        <w:tblInd w:w="0" w:type="dxa"/>
        <w:tblCellMar>
          <w:top w:w="0" w:type="dxa"/>
          <w:left w:w="0" w:type="dxa"/>
          <w:bottom w:w="0" w:type="dxa"/>
          <w:right w:w="0" w:type="dxa"/>
        </w:tblCellMar>
      </w:tblPr>
      <w:tblGrid>
        <w:gridCol w:w="60"/>
        <w:gridCol w:w="110"/>
        <w:gridCol w:w="38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8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Senthil Sundaram, our Chief Executive Officer; </w:t>
            </w:r>
          </w:p>
        </w:tc>
      </w:tr>
    </w:tbl>
    <w:tbl>
      <w:tblPr>
        <w:tblW w:w="4570" w:type="dxa"/>
        <w:jc w:val="left"/>
        <w:tblInd w:w="0" w:type="dxa"/>
        <w:tblCellMar>
          <w:top w:w="0" w:type="dxa"/>
          <w:left w:w="0" w:type="dxa"/>
          <w:bottom w:w="0" w:type="dxa"/>
          <w:right w:w="0" w:type="dxa"/>
        </w:tblCellMar>
      </w:tblPr>
      <w:tblGrid>
        <w:gridCol w:w="60"/>
        <w:gridCol w:w="110"/>
        <w:gridCol w:w="44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4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Mark Vignola, Ph.D., our Chief Financial Officer; and </w:t>
            </w:r>
          </w:p>
        </w:tc>
      </w:tr>
    </w:tbl>
    <w:tbl>
      <w:tblPr>
        <w:tblW w:w="4945" w:type="dxa"/>
        <w:jc w:val="left"/>
        <w:tblInd w:w="0" w:type="dxa"/>
        <w:tblCellMar>
          <w:top w:w="0" w:type="dxa"/>
          <w:left w:w="0" w:type="dxa"/>
          <w:bottom w:w="0" w:type="dxa"/>
          <w:right w:w="0" w:type="dxa"/>
        </w:tblCellMar>
      </w:tblPr>
      <w:tblGrid>
        <w:gridCol w:w="60"/>
        <w:gridCol w:w="110"/>
        <w:gridCol w:w="47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7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Erin Quirk, M.D., our President and Chief Medical Officer.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 The equity award share numbers and exercise prices presented in Item 11. have been adjusted to reflect the impact of the 1-for-14 reverse stock split.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155</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2020 Summary Compensation Table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information concerning the compensation of our named executive officers for the year ended December 31, 2020. </w:t>
      </w:r>
    </w:p>
    <w:p>
      <w:pPr>
        <w:pStyle w:val="TextBody"/>
        <w:spacing w:before="0" w:after="0"/>
        <w:rPr/>
      </w:pPr>
      <w:r>
        <w:rPr/>
        <w:t> </w:t>
      </w:r>
    </w:p>
    <w:tbl>
      <w:tblPr>
        <w:tblW w:w="8224" w:type="dxa"/>
        <w:jc w:val="center"/>
        <w:tblInd w:w="0" w:type="dxa"/>
        <w:tblCellMar>
          <w:top w:w="0" w:type="dxa"/>
          <w:left w:w="0" w:type="dxa"/>
          <w:bottom w:w="28" w:type="dxa"/>
          <w:right w:w="0" w:type="dxa"/>
        </w:tblCellMar>
      </w:tblPr>
      <w:tblGrid>
        <w:gridCol w:w="2375"/>
        <w:gridCol w:w="60"/>
        <w:gridCol w:w="440"/>
        <w:gridCol w:w="60"/>
        <w:gridCol w:w="60"/>
        <w:gridCol w:w="695"/>
        <w:gridCol w:w="60"/>
        <w:gridCol w:w="60"/>
        <w:gridCol w:w="171"/>
        <w:gridCol w:w="748"/>
        <w:gridCol w:w="60"/>
        <w:gridCol w:w="60"/>
        <w:gridCol w:w="60"/>
        <w:gridCol w:w="950"/>
        <w:gridCol w:w="60"/>
        <w:gridCol w:w="60"/>
        <w:gridCol w:w="83"/>
        <w:gridCol w:w="972"/>
        <w:gridCol w:w="60"/>
        <w:gridCol w:w="60"/>
        <w:gridCol w:w="60"/>
        <w:gridCol w:w="950"/>
        <w:gridCol w:w="60"/>
      </w:tblGrid>
      <w:tr>
        <w:trPr/>
        <w:tc>
          <w:tcPr>
            <w:tcW w:w="237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 and Principal Position</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4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Salary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Bonus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Awards</w:t>
            </w:r>
          </w:p>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5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Non-Equity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Incentive Plan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Compensation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top w:val="single" w:sz="6" w:space="0" w:color="000000"/>
            </w:tcBorders>
            <w:shd w:fill="CFF0FC" w:val="clear"/>
            <w:tcMar>
              <w:top w:w="28" w:type="dxa"/>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Senthil Sundaram(2)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208,333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tcBorders>
            <w:shd w:fill="CFF0FC" w:val="clear"/>
            <w:tcMar>
              <w:top w:w="28" w:type="dxa"/>
              <w:bottom w:w="0" w:type="dxa"/>
            </w:tcMar>
            <w:vAlign w:val="bottom"/>
          </w:tcPr>
          <w:p>
            <w:pPr>
              <w:pStyle w:val="TableContents"/>
              <w:spacing w:lineRule="auto" w:line="288"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150,000(3)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13,135,650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223,437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13,717,420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FFFFFF" w:val="clear"/>
            <w:tcMar>
              <w:bottom w:w="0" w:type="dxa"/>
            </w:tcMar>
          </w:tcPr>
          <w:p>
            <w:pPr>
              <w:pStyle w:val="TableContents"/>
              <w:spacing w:before="0" w:after="0"/>
              <w:ind w:left="274"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Chief Executive Officer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CFF0FC"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 Vignola, Ph.D.(4)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3,060,550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72,150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3,242,700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FFFFFF" w:val="clear"/>
            <w:tcMar>
              <w:bottom w:w="0" w:type="dxa"/>
            </w:tcMar>
          </w:tcPr>
          <w:p>
            <w:pPr>
              <w:pStyle w:val="TableContents"/>
              <w:spacing w:before="0" w:after="0"/>
              <w:ind w:left="274"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Chief Financial Officer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Erin Quirk, M.D.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374,325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3,294,044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175,064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3,843,433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FFFFFF" w:val="clear"/>
            <w:tcMar>
              <w:bottom w:w="0" w:type="dxa"/>
            </w:tcMar>
          </w:tcPr>
          <w:p>
            <w:pPr>
              <w:pStyle w:val="TableContents"/>
              <w:spacing w:before="0" w:after="0"/>
              <w:ind w:left="274"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President and Chief Medical</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caps w:val="false"/>
                <w:smallCaps w:val="false"/>
                <w:color w:val="000000"/>
                <w:sz w:val="20"/>
              </w:rPr>
              <w:t>Officer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lineRule="atLeast" w:line="141" w:before="0" w:after="0"/>
        <w:rPr/>
      </w:pPr>
      <w:r>
        <w:rPr/>
        <w:t> </w:t>
      </w:r>
    </w:p>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10000"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Amounts reflect the full grant date fair value of option awards granted during 2020 computed in accordance with ASC Topic 718, rather than the amounts paid to or realized by the named individual. See Note 11 of the consolidated financial statements included in this Annual Report for the assumptions used in calculating these amounts.  </w:t>
            </w:r>
          </w:p>
        </w:tc>
      </w:tr>
    </w:tbl>
    <w:tbl>
      <w:tblPr>
        <w:tblW w:w="6190" w:type="dxa"/>
        <w:jc w:val="left"/>
        <w:tblInd w:w="0" w:type="dxa"/>
        <w:tblCellMar>
          <w:top w:w="0" w:type="dxa"/>
          <w:left w:w="0" w:type="dxa"/>
          <w:bottom w:w="0" w:type="dxa"/>
          <w:right w:w="0" w:type="dxa"/>
        </w:tblCellMar>
      </w:tblPr>
      <w:tblGrid>
        <w:gridCol w:w="245"/>
        <w:gridCol w:w="5945"/>
      </w:tblGrid>
      <w:tr>
        <w:trPr/>
        <w:tc>
          <w:tcPr>
            <w:tcW w:w="24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594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Mr. Sundaram commenced his employment effective as of July 30, 2020. </w:t>
            </w:r>
          </w:p>
        </w:tc>
      </w:tr>
    </w:tbl>
    <w:tbl>
      <w:tblPr>
        <w:tblW w:w="10205" w:type="dxa"/>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9988"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Amount represents a signing and relocation bonus paid to Mr. Sundaram in connection with the commencement of his employment with us as described in the section titled “—Signing and Relocation Bonus” below. </w:t>
            </w:r>
          </w:p>
        </w:tc>
      </w:tr>
    </w:tbl>
    <w:tbl>
      <w:tblPr>
        <w:tblW w:w="6115" w:type="dxa"/>
        <w:jc w:val="left"/>
        <w:tblInd w:w="0" w:type="dxa"/>
        <w:tblCellMar>
          <w:top w:w="0" w:type="dxa"/>
          <w:left w:w="0" w:type="dxa"/>
          <w:bottom w:w="0" w:type="dxa"/>
          <w:right w:w="0" w:type="dxa"/>
        </w:tblCellMar>
      </w:tblPr>
      <w:tblGrid>
        <w:gridCol w:w="245"/>
        <w:gridCol w:w="5870"/>
      </w:tblGrid>
      <w:tr>
        <w:trPr/>
        <w:tc>
          <w:tcPr>
            <w:tcW w:w="24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5870"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 Vignola commenced his employment with us on September 1, 2020. </w:t>
            </w:r>
          </w:p>
        </w:tc>
      </w:tr>
    </w:tbl>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Narrative to the Summary Compensation Table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2020 Annual Base Salaries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During fiscal year 2020, our named executive officers’ annual base salaries were as follows: </w:t>
      </w:r>
    </w:p>
    <w:tbl>
      <w:tblPr>
        <w:tblW w:w="2320" w:type="dxa"/>
        <w:jc w:val="left"/>
        <w:tblInd w:w="0" w:type="dxa"/>
        <w:tblCellMar>
          <w:top w:w="0" w:type="dxa"/>
          <w:left w:w="0" w:type="dxa"/>
          <w:bottom w:w="0" w:type="dxa"/>
          <w:right w:w="0" w:type="dxa"/>
        </w:tblCellMar>
      </w:tblPr>
      <w:tblGrid>
        <w:gridCol w:w="60"/>
        <w:gridCol w:w="110"/>
        <w:gridCol w:w="21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1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Mr. Sundaram: $500,000; </w:t>
            </w:r>
          </w:p>
        </w:tc>
      </w:tr>
    </w:tbl>
    <w:tbl>
      <w:tblPr>
        <w:tblW w:w="2470" w:type="dxa"/>
        <w:jc w:val="left"/>
        <w:tblInd w:w="0" w:type="dxa"/>
        <w:tblCellMar>
          <w:top w:w="0" w:type="dxa"/>
          <w:left w:w="0" w:type="dxa"/>
          <w:bottom w:w="0" w:type="dxa"/>
          <w:right w:w="0" w:type="dxa"/>
        </w:tblCellMar>
      </w:tblPr>
      <w:tblGrid>
        <w:gridCol w:w="60"/>
        <w:gridCol w:w="110"/>
        <w:gridCol w:w="23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3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Dr. Vignola: $330,000; and </w:t>
            </w:r>
          </w:p>
        </w:tc>
      </w:tr>
    </w:tbl>
    <w:tbl>
      <w:tblPr>
        <w:tblW w:w="1915" w:type="dxa"/>
        <w:jc w:val="left"/>
        <w:tblInd w:w="0" w:type="dxa"/>
        <w:tblCellMar>
          <w:top w:w="0" w:type="dxa"/>
          <w:left w:w="0" w:type="dxa"/>
          <w:bottom w:w="0" w:type="dxa"/>
          <w:right w:w="0" w:type="dxa"/>
        </w:tblCellMar>
      </w:tblPr>
      <w:tblGrid>
        <w:gridCol w:w="60"/>
        <w:gridCol w:w="110"/>
        <w:gridCol w:w="17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7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Dr. Quirk: $374,325.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2020, our board of directors approved increasing the base salaries of our named executive officers. Starting in February 2021, the annual base salaries for Mr. Sundaram, Dr. Vignola and Dr. Quirk are $515,000, $375,000 and $430,000, respectively.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2020 Annual Performance Bonuses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maintain an annual performance-based cash bonus program in which each of our named executive officers participated in 2020. Each named executive officer’s target bonus is expressed as a percentage of base salary, and bonus payments are determined based on achievement of certain performance goals approved by our board of directors. The 2020 annual bonus for Mr. Sundaram was targeted at 45% of annual base salary, the 2020 annual bonus for Dr. Vignola was targeted at 30% of his annual base salary and the 2020 annual bonus for Dr. Quirk was targeted at 35% of her base salary. For fiscal 2021, the target bonuses for our named executive officers are as follows: Mr. Sundaram: 50%; Dr. Quirk: 45%; and Dr. Vignola: 40%. In February 2021, our board of directors determined annual performance-based cash bonus amounts for 2020, and the 2020 annual bonuses earned by our named executive officers are set forth in the Summary Compensation Table above in the column entitled “Non-Equity Incentive Plan Compensation”.</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156</w:t>
      </w:r>
    </w:p>
    <w:p>
      <w:pPr>
        <w:pStyle w:val="HorizontalLine"/>
        <w:rPr/>
      </w:pPr>
      <w:r>
        <w:rPr/>
      </w:r>
    </w:p>
    <w:p>
      <w:pPr>
        <w:pStyle w:val="TextBody"/>
        <w:spacing w:before="0" w:after="0"/>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Signing and Relocation Bonus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order to attract top talent, from time to time, we provide signing and relocation bonuses to external hires. In connection with the hire of Mr. Sundaram in July 2020, we approved a cash signing and relocation bonus in the aggregate amount of $150,000, which was paid within 30 days following his employment start date. In the event Mr. Sundaram resigns for “good reason” or we terminate his employment with us for “cause” (in each case as defined in his offer letter agreement) before the first anniversary of his employment start date, he will be required to repay a prorated portion of his signing and relocation bonus. We believe this signing and relocation bonus arrangement was appropriate as an incentive for Mr. Sundaram to join us and remain employed through the first anniversary of his employment start date.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Equity Compensation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granted stock options to our employees, including our named executive officers, in order to attract and retain them, as well as to align their interests with the interests of our stockholders. In order to provide a long-term incentive, these stock options generally vest over four years subject to continued service to the company.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connection with our initial public offering, or IPO, we adopted the 2021 Incentive Award Plan, or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Other Elements of Compensation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Retirement Savings and Health and Welfare Benefits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employees, including our named executive officers, who satisfy certain eligibility requirements are eligible to participate in a 401(k) plan maintained by TriNet, a professional employer organization that is the legal employer of our employees. Our named executive officers are eligible to participate in the 401(k) plan on the same terms as other full-time employees. For each participant, we make matching contributions to the 401(k) plan equal to 100% of the first 3% of eligible compensation contributed each year, up to $7,500.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of our full-time employees, including our named executive officers, are eligible to participate in our health and welfare plans, which are provided through TriNet. These health and welfare plans include medical, dental and vision benefits; short-term and long-term disability insurance; and supplemental life and AD&amp;D insurance.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Perquisites and Other Personal Benefits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determine perquisites on a case-by-case basis and will provide a perquisite to a named executive officer when we believe it is necessary to attract or retain the named executive officer. However, in 2020, we did not provide any perquisites or personal benefits to our named executive officers not otherwise made available to our other employees.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157</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Outstanding Equity Awards at Fiscal Year-End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the number of shares of common stock underlying outstanding option awards for each named executive officer as of December 31, 2020. </w:t>
      </w:r>
    </w:p>
    <w:p>
      <w:pPr>
        <w:pStyle w:val="TextBody"/>
        <w:spacing w:before="0" w:after="0"/>
        <w:rPr/>
      </w:pPr>
      <w:r>
        <w:rPr/>
        <w:t> </w:t>
      </w:r>
    </w:p>
    <w:tbl>
      <w:tblPr>
        <w:tblW w:w="8315" w:type="dxa"/>
        <w:jc w:val="center"/>
        <w:tblInd w:w="0" w:type="dxa"/>
        <w:tblCellMar>
          <w:top w:w="0" w:type="dxa"/>
          <w:left w:w="0" w:type="dxa"/>
          <w:bottom w:w="28" w:type="dxa"/>
          <w:right w:w="0" w:type="dxa"/>
        </w:tblCellMar>
      </w:tblPr>
      <w:tblGrid>
        <w:gridCol w:w="1685"/>
        <w:gridCol w:w="60"/>
        <w:gridCol w:w="980"/>
        <w:gridCol w:w="60"/>
        <w:gridCol w:w="1655"/>
        <w:gridCol w:w="60"/>
        <w:gridCol w:w="70"/>
        <w:gridCol w:w="820"/>
        <w:gridCol w:w="60"/>
        <w:gridCol w:w="60"/>
        <w:gridCol w:w="81"/>
        <w:gridCol w:w="944"/>
        <w:gridCol w:w="60"/>
        <w:gridCol w:w="60"/>
        <w:gridCol w:w="620"/>
        <w:gridCol w:w="60"/>
        <w:gridCol w:w="980"/>
      </w:tblGrid>
      <w:tr>
        <w:trPr/>
        <w:tc>
          <w:tcPr>
            <w:tcW w:w="16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15" w:type="dxa"/>
            <w:gridSpan w:val="11"/>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 Awards</w:t>
            </w:r>
          </w:p>
        </w:tc>
      </w:tr>
      <w:tr>
        <w:trPr/>
        <w:tc>
          <w:tcPr>
            <w:tcW w:w="16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Grant Date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Vesting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Commencement</w:t>
            </w:r>
          </w:p>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Date(1)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Securities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Underlying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Unexercised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Options (#)</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Securities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Underlying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Unexercised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Unexercisable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Expiration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Date</w:t>
            </w:r>
          </w:p>
        </w:tc>
      </w:tr>
      <w:tr>
        <w:trPr/>
        <w:tc>
          <w:tcPr>
            <w:tcW w:w="168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Senthil Sundaram</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top w:w="28" w:type="dxa"/>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8/13/2020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top w:val="single" w:sz="6" w:space="0" w:color="000000"/>
            </w:tcBorders>
            <w:shd w:fill="CFF0FC" w:val="clear"/>
            <w:tcMar>
              <w:top w:w="28" w:type="dxa"/>
              <w:bottom w:w="0" w:type="dxa"/>
            </w:tcMar>
            <w:vAlign w:val="center"/>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7/30/2020(2)(3)(4)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370,170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top w:val="single" w:sz="6" w:space="0" w:color="000000"/>
            </w:tcBorders>
            <w:shd w:fill="CFF0FC" w:val="clear"/>
            <w:tcMar>
              <w:top w:w="28" w:type="dxa"/>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top w:val="single" w:sz="6" w:space="0" w:color="000000"/>
            </w:tcBorders>
            <w:shd w:fill="CFF0FC" w:val="clear"/>
            <w:tcMar>
              <w:top w:w="28" w:type="dxa"/>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8/12/2030</w:t>
            </w:r>
          </w:p>
        </w:tc>
      </w:tr>
      <w:tr>
        <w:trPr/>
        <w:tc>
          <w:tcPr>
            <w:tcW w:w="168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shd w:fill="FFFFFF" w:val="clear"/>
            <w:tcMar>
              <w:bottom w:w="0" w:type="dxa"/>
            </w:tcMar>
            <w:vAlign w:val="center"/>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12/30/2020(2)(3)(4)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579,027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12/29/2030</w:t>
            </w:r>
          </w:p>
        </w:tc>
      </w:tr>
      <w:tr>
        <w:trPr/>
        <w:tc>
          <w:tcPr>
            <w:tcW w:w="16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 Vignola, Ph.D.</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9/10/2020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shd w:fill="CFF0FC" w:val="clear"/>
            <w:tcMar>
              <w:bottom w:w="0" w:type="dxa"/>
            </w:tcMar>
            <w:vAlign w:val="center"/>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9/1/2020(2)(3)(4)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76,995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9/9/2030</w:t>
            </w:r>
          </w:p>
        </w:tc>
      </w:tr>
      <w:tr>
        <w:trPr/>
        <w:tc>
          <w:tcPr>
            <w:tcW w:w="168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shd w:fill="FFFFFF" w:val="clear"/>
            <w:tcMar>
              <w:bottom w:w="0" w:type="dxa"/>
            </w:tcMar>
            <w:vAlign w:val="center"/>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12/30/2020(2)(3)(4)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150,812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12/29/2030</w:t>
            </w:r>
          </w:p>
        </w:tc>
      </w:tr>
      <w:tr>
        <w:trPr/>
        <w:tc>
          <w:tcPr>
            <w:tcW w:w="16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Erin Quirk, M.D.</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shd w:fill="CFF0FC" w:val="clear"/>
            <w:tcMar>
              <w:bottom w:w="0" w:type="dxa"/>
            </w:tcMar>
            <w:vAlign w:val="center"/>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1/2/2019(2)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32,514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35,342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1/10/2029</w:t>
            </w:r>
          </w:p>
        </w:tc>
      </w:tr>
      <w:tr>
        <w:trPr/>
        <w:tc>
          <w:tcPr>
            <w:tcW w:w="168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4,404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3/15/2030</w:t>
            </w:r>
          </w:p>
        </w:tc>
      </w:tr>
      <w:tr>
        <w:trPr/>
        <w:tc>
          <w:tcPr>
            <w:tcW w:w="168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7/31/2020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15,997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CFF0FC"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7/30/2030</w:t>
            </w:r>
          </w:p>
        </w:tc>
      </w:tr>
      <w:tr>
        <w:trPr/>
        <w:tc>
          <w:tcPr>
            <w:tcW w:w="168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12/30/2020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5" w:type="dxa"/>
            <w:tcBorders/>
            <w:shd w:fill="FFFFFF" w:val="clear"/>
            <w:tcMar>
              <w:bottom w:w="0" w:type="dxa"/>
            </w:tcMar>
            <w:vAlign w:val="center"/>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12/30/2020(2)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288,250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tcBorders/>
            <w:shd w:fill="FFFFFF"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12/29/2030</w:t>
            </w:r>
          </w:p>
        </w:tc>
      </w:tr>
    </w:tbl>
    <w:p>
      <w:pPr>
        <w:pStyle w:val="TextBody"/>
        <w:pBdr>
          <w:bottom w:val="single" w:sz="6" w:space="1" w:color="000000"/>
        </w:pBdr>
        <w:spacing w:lineRule="atLeast" w:line="141" w:before="0" w:after="0"/>
        <w:rPr/>
      </w:pPr>
      <w:r>
        <w:rPr/>
        <w:t> </w:t>
      </w:r>
    </w:p>
    <w:tbl>
      <w:tblPr>
        <w:tblW w:w="10205" w:type="dxa"/>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987"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Except as otherwise indicated, 1/48th of the shares subject to each option vest on each monthly anniversary of the vesting commencement date, subject to continued service with us through each vesting date. </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99"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1/4th of the shares subject to each option vest on the 12-month anniversary of the vesting commencement date and 1/48th of the shares subject to the option vest on each monthly anniversary of the vesting commencement date for three years thereafter, subject to continued service with us through each vesting date. </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08"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terms of the named executive officer’s offer letter agreement, the shares subject to the option will vest in full in the event of a termination of the executive’s employment by us without “cause” or the executive’s resignation for “good reason” (each such term as defined in the named executive officer’s offer letter agreement), in each case, that occurs after entering into a definitive agreement providing for a change in control and within three months prior to or 12 months following a change in control of our company. </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02"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terms of the named executive officer’s offer letter agreement, the named executive officer may exercise the option prior to vesting and be issued restricted shares, subject to entering into a restricted shares agreement with the Company, provided that such restricted shares will be subject to the same vesting schedule applicable to the related option award. </w:t>
            </w:r>
          </w:p>
        </w:tc>
      </w:tr>
    </w:tbl>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Change in Control Policy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2020, we adopted the Terns Pharmaceuticals, Inc. Change in Control Policy, or the “CIC Policy”, in which our executed officers (including our named executive officers), senior executives with a title of “Vice President” or higher, and other employees designated by our board are eligible to participate. Pursuant to the CIC Policy, 100% of a participant’s then-outstanding equity awards will vest in full in the event of a termination of the participant’s employment without “cause” or the participant’s resignation for “good reason” (each such term generally defined in the same way they are defined in Mr. Sundaram’s offer letter agreement), in each case, that occurs after entering into a definitive agreement providing for a change in control and within three months prior to or 12 months following a change in control of our company, subject to the participant’s timely execution and non-revocation of a general release of claims against our company. If equity awards are subject to performance-based vesting conditions and such performance criteria have not or cannot be determined as of the date of the qualifying termination, such performance criteria shall be deemed to have been achieved at target levels. If a qualifying termination occurs after entering into a definitive agreement providing for a change in control but before the occurrence of an actual change in control event, the acceleration of the participant’s equity awards will occur upon the change in control event and not the qualifying termination.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158</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Executive Compensation Arrangements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Offer Letter Agreements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Mr. Sundaram Offer Letter Agreement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2020, we entered into an offer letter agreement with Mr. Sundaram setting forth the terms and conditions of his employment with us. This agreement provides that Mr. Sundaram will serve as our Chief Executive Officer with an annual base salary of $500,000, a target bonus opportunity of 45% of his annual base salary, a one-time signing and relocation bonus of $150,000 and an initial option to purchase 370,170 shares of our common stock. The offer letter also provided for Mr. Sundaram the opportunity to be granted an additional option in the event we completed certain financing transactions prior to our initial public offering or a change in control.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Mr. Sundaram resigns for “good reason” or we terminate his employment with us without “cause” (in each case as defined in his offer letter agreement), he is entitled to receive the following benefits, in addition to any accrued obligations and subject to his timely execution and non-revocation of a general release of claims in our favor: (i) continuation of his then-current annual base salary for a period of 12 months, (ii) a prorated portion of his annual performance bonus at 100% of target, (iii) continuation of his healthcare insurance coverage (or an equivalent reimbursement from us) for a period of 12 months and (iv) extended exercisability of certain options for up to three years following his termination of employment. Additionally, in the event Mr. Sundaram resigns for “good reason” or we terminate his employment with us without “cause” following a “potential change in control” and within three months prior to or 12 months following a “change in control” of our company (in each case as defined in his offer letter agreement), he is entitled to receive the following benefits, in addition to any accrued obligations and subject to his timely execution and non-revocation of a general release of claims in our favor: (i) continuation of his then-current annual base salary for a period of 18 months, (ii) a prorated portion of his annual performance bonus at 150% of target, (iii) continuation of his healthcare insurance coverage (or an equivalent reimbursement from us) for a period of 12 months and (iv) full vesting acceleration of all his then-outstanding equity awards.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Mr. Sundaram’s offer letter agreement generally defines “cause” to mean the occurrence of any one or more of the following, subject to certain notice and cure rights: (i) the commission of any crime involving fraud, dishonesty or moral turpitude, (ii) the attempted commission of or participation in a fraud or act of dishonesty against us that results in (or might have reasonably resulted in) material harm to the business of our company; (iii) the intentional, material violation of any contract or agreement between him and us or any statutory duty owed to us, or (iv) conduct that constitutes gross insubordination, incompetence or habitual neglect of duties and that results in (or might have reasonably resulted in) material harm to the business of our company.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Mr. Sundaram’s offer letter agreement generally defines “good reason” to mean the occurrence of any one or more of the following, without his consent and subject to certain notice and cure rights: (i) the assignment of any duties or responsibilities that results in a material diminution in his function (as in effect immediately prior to the effective date of the change in control transaction, if applicable); (ii) a reduction of greater than 10% in his annual base salary (as in effect on the effective date of the change in control transaction, if applicable); provided, however, that good reason shall not be deemed to have occurred in the event of a reduction in his annual base salary that is pursuant to a salary reduction program affecting substantially all of our employees and that does not adversely affect him to a greater extent than other similarly situated employees; or (iii) a relocation of his primary business office to a location more than 30 miles from the location of his primary business office (as of the effective date of the change in control transaction, if applicable), except for required travel on our company’s business (to an extent substantially consistent with his business travel obligations prior to the effective date of the change in control transaction, if applicable). </w:t>
      </w:r>
    </w:p>
    <w:p>
      <w:pPr>
        <w:pStyle w:val="TextBody"/>
        <w:spacing w:before="36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Dr. Vignola Offer Letter Agreement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August 2020, we entered into an offer letter agreement with Dr. Vignola setting forth the terms and conditions of his employment with us. The offer letter provides for Dr. Vignola to serve as our Chief Financial Officer commencing on September 1, 2020 with an annual base salary of $330,000 and a target bonus opportunity of 30% of his annual base salary.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159</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Dr. Vignola resigns for “good reason” or we terminate his employment with us without “cause” (in each case as defined in his offer letter agreement), he is entitled to receive the following benefits, in addition to any accrued obligations and subject to his timely execution and non-revocation of a general release of claims in our favor: (i) continuation of his then-current annual base salary for a period of 12 months, (ii) a prorated portion of his annual performance bonus based on actual performance, (iii) continuation of his healthcare insurance coverage (or an equivalent reimbursement from us) for a period of 12 months, and (iv) the extended exercisability of his options for up to three years following his termination of employment. In the event such resignation or termination occurs following a “potential change in control” and within three months prior to or 12 months following a “change in control” of our company (in each case as defined in his offer letter agreement), then, in addition to the foregoing payments and benefits, Dr. Vignola is entitled to full vesting acceleration of all his then-outstanding equity awards.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 Vignola’s offer letter agreement generally defines “cause” and “good reason” in the same way they are defined in Mr. Sundaram’s offer letter agreement. </w:t>
      </w:r>
    </w:p>
    <w:p>
      <w:pPr>
        <w:pStyle w:val="TextBody"/>
        <w:spacing w:before="28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Dr. Quirk Offer Letter Agreement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August 2020, we entered into an offer letter agreement with Dr. Quirk setting forth the terms and conditions of her continued employment with us. The offer letter provides for Dr. Quirk to continue to serve as our President and Chief Medical Officer with an annual base salary of $374,325 and a target bonus opportunity of 35% of her annual base salary.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Dr. Quirk resigns for “good reason” or we terminate her employment with us without “cause” (in each case as defined in her offer letter agreement), she is entitled to receive the following benefits, in addition to any accrued obligations and subject to her timely execution and non-revocation of a general release of claims in our favor: (i) continuation of her then-current annual base salary for a period of 12 months, (ii) a prorated portion of her annual performance bonus based on actual performance, and (iii) continuation of her healthcare insurance coverage (or an equivalent reimbursement from us) for a period of 12 months.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Dr. Quirk’s offer letter agreement generally defines “cause” and “good reason” in the same way they are defined in Mr. Sundaram’s offer letter agreement except that Dr. Quirk’s offer letter requires a greater distance relocation to trigger “good reason”. </w:t>
      </w:r>
    </w:p>
    <w:p>
      <w:pPr>
        <w:pStyle w:val="TextBody"/>
        <w:spacing w:before="28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Director Compensation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Prior to our IPO, we have not maintained a formal non-employee director compensation program. Our non-employee directors received no cash compensation from us during the year ended December 31, 2020. However, in 2020, we granted David Fellows, Jeffrey Kindler, and Jill Quigley each an option to purchase 28,475 stock options as set forth in the 2020 Director Compensation Table below. Additionally, we provide reimbursement to our non-employee directors for their reasonable expenses incurred in attending meetings of our board of directors and its committees. Mr. Sundaram and Dr. Zhong receive no additional compensation for their service as directors.</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2020 Director Compensation Table </w:t>
      </w:r>
    </w:p>
    <w:p>
      <w:pPr>
        <w:pStyle w:val="TextBody"/>
        <w:spacing w:before="0" w:after="0"/>
        <w:rPr/>
      </w:pPr>
      <w:r>
        <w:rPr/>
        <w:t> </w:t>
      </w:r>
    </w:p>
    <w:tbl>
      <w:tblPr>
        <w:tblW w:w="3900" w:type="dxa"/>
        <w:jc w:val="center"/>
        <w:tblInd w:w="0" w:type="dxa"/>
        <w:tblCellMar>
          <w:top w:w="0" w:type="dxa"/>
          <w:left w:w="0" w:type="dxa"/>
          <w:bottom w:w="28" w:type="dxa"/>
          <w:right w:w="0" w:type="dxa"/>
        </w:tblCellMar>
      </w:tblPr>
      <w:tblGrid>
        <w:gridCol w:w="2150"/>
        <w:gridCol w:w="60"/>
        <w:gridCol w:w="60"/>
        <w:gridCol w:w="695"/>
        <w:gridCol w:w="60"/>
        <w:gridCol w:w="60"/>
        <w:gridCol w:w="60"/>
        <w:gridCol w:w="695"/>
        <w:gridCol w:w="60"/>
      </w:tblGrid>
      <w:tr>
        <w:trPr/>
        <w:tc>
          <w:tcPr>
            <w:tcW w:w="21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Awards</w:t>
            </w:r>
          </w:p>
          <w:p>
            <w:pPr>
              <w:pStyle w:val="TableContents"/>
              <w:spacing w:lineRule="auto" w:line="288"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David Fellows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309,641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309,641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Carl Gordon, Ph.D., C.F.A.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Jeffrey Kindler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309,641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309,641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Hongbo Lu,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Jill Quigley, J.D.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309,641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309,641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Yi Shi, Ph.D., MBA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Elise Wang, MBA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lineRule="atLeast" w:line="141"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10000"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Amounts reflect the full grant date fair value of option awards granted during 2020 computed in accordance with ASC Topic 718, rather than the amounts paid to or realized by the named individual. See Note 11 of the consolidated financial statements included in this Annual Report for the assumptions used in calculating these amounts.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160</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table below shows the aggregate numbers of stock options held as of December 31, 2020 by each non-employee director. </w:t>
      </w:r>
    </w:p>
    <w:p>
      <w:pPr>
        <w:pStyle w:val="TextBody"/>
        <w:spacing w:before="0" w:after="0"/>
        <w:rPr/>
      </w:pPr>
      <w:r>
        <w:rPr/>
        <w:t> </w:t>
      </w:r>
    </w:p>
    <w:tbl>
      <w:tblPr>
        <w:tblW w:w="3474" w:type="dxa"/>
        <w:jc w:val="center"/>
        <w:tblInd w:w="0" w:type="dxa"/>
        <w:tblCellMar>
          <w:top w:w="0" w:type="dxa"/>
          <w:left w:w="0" w:type="dxa"/>
          <w:bottom w:w="28" w:type="dxa"/>
          <w:right w:w="0" w:type="dxa"/>
        </w:tblCellMar>
      </w:tblPr>
      <w:tblGrid>
        <w:gridCol w:w="2150"/>
        <w:gridCol w:w="60"/>
        <w:gridCol w:w="111"/>
        <w:gridCol w:w="1093"/>
        <w:gridCol w:w="60"/>
      </w:tblGrid>
      <w:tr>
        <w:trPr/>
        <w:tc>
          <w:tcPr>
            <w:tcW w:w="21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Outstanding as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 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David Fellows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28,475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Carl Gordon, Ph.D., C.F.A.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Jeffrey Kindler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28,475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Hongbo Lu,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Jill Quigley, J.D.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28,475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Yi Shi, Ph.D., MBA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Elise Wang, MBA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February 2021, subsequent to the completion of our IPO, Drs. Gordon and Lu were each awarded an option to purchase 25,000 shares of the Company’s common stock in accordance with the non-employee director compensation program described further below.</w:t>
      </w:r>
    </w:p>
    <w:p>
      <w:pPr>
        <w:pStyle w:val="TextBody"/>
        <w:spacing w:before="0" w:after="0"/>
        <w:jc w:val="both"/>
        <w:rPr/>
      </w:pPr>
      <w:r>
        <w:rPr/>
        <w:t> </w:t>
      </w:r>
    </w:p>
    <w:p>
      <w:pPr>
        <w:pStyle w:val="TextBody"/>
        <w:spacing w:before="1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Non-Employee Director Compensation Program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compensation program for our non-employee directors, or the Director Compensation Program, which became effective in connection with our IPO, our non-employee directors will receive cash compensation as follows: </w:t>
      </w:r>
    </w:p>
    <w:tbl>
      <w:tblPr>
        <w:tblW w:w="8260" w:type="dxa"/>
        <w:jc w:val="left"/>
        <w:tblInd w:w="0" w:type="dxa"/>
        <w:tblCellMar>
          <w:top w:w="0" w:type="dxa"/>
          <w:left w:w="0" w:type="dxa"/>
          <w:bottom w:w="0" w:type="dxa"/>
          <w:right w:w="0" w:type="dxa"/>
        </w:tblCellMar>
      </w:tblPr>
      <w:tblGrid>
        <w:gridCol w:w="60"/>
        <w:gridCol w:w="110"/>
        <w:gridCol w:w="80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0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Each non-employee director will receive an annual cash retainer in the amount of $40,000 per year. </w:t>
            </w:r>
          </w:p>
        </w:tc>
      </w:tr>
    </w:tbl>
    <w:tbl>
      <w:tblPr>
        <w:tblW w:w="8830" w:type="dxa"/>
        <w:jc w:val="left"/>
        <w:tblInd w:w="0" w:type="dxa"/>
        <w:tblCellMar>
          <w:top w:w="0" w:type="dxa"/>
          <w:left w:w="0" w:type="dxa"/>
          <w:bottom w:w="0" w:type="dxa"/>
          <w:right w:w="0" w:type="dxa"/>
        </w:tblCellMar>
      </w:tblPr>
      <w:tblGrid>
        <w:gridCol w:w="60"/>
        <w:gridCol w:w="110"/>
        <w:gridCol w:w="86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6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non-executive chair will receive an additional annual cash retainer in the amount of $30,000 per year.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chairperson of the audit committee will receive additional annual cash compensation in the amount of $15,000 per year for such chairperson’s service on the audit committee. Each non-chairperson member of the audit committee will receive additional annual cash compensation in the amount of $7,500 per year for such member’s service on the audit committee.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chairperson of the compensation committee will receive additional annual cash compensation in the amount of $10,000 per year for such chairperson’s service on the compensation committee. Each non-chairperson member of the compensation committee will receive additional annual cash compensation in the amount of $5,000 per year for such member’s service on the compensation committee.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chairperson of the nominating and corporate governance committee will receive additional annual cash compensation in the amount of $8,000 per year for such chairperson’s service on the nominating and corporate governance committee. Each non-chairperson member of the nominating and corporate governance committee will receive additional annual cash compensation in the amount of $4,000 per year for such member’s service on the nominating and corporate governance committee. </w:t>
            </w:r>
          </w:p>
        </w:tc>
      </w:tr>
    </w:tbl>
    <w:p>
      <w:pPr>
        <w:pStyle w:val="TextBody"/>
        <w:spacing w:lineRule="auto" w:line="288"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Director Compensation Program, each non-employee director will automatically be granted an option to purchase 25,000 shares of our common stock upon the director’s initial appointment or election to our board of directors, referred to as the Initial Grant, and an option to purchase 12,500 shares of our common stock automatically on the date of each annual stockholder’s meeting thereafter, referred to as the Annual Grant. The Initial Grant will vest as to 1/3rd of the total shares subject thereto on the first anniversary of the applicable date of grant and as to 1/36th of the total shares subject thereto on each monthly anniversary of the applicable date of grant over the next 24 months thereafter, subject to continued service through each applicable vesting date. The Annual Grant will vest on the earlier of the first anniversary of the date of grant or the date of the next annual stockholder’s meeting to the extent unvested as of such date, subject to continued service through each applicable vesting date. Each Initial Grant and Annual Grant will vest in full in the event of a change in control.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161</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Compensation Committee Interlocks and Insider Participation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pStyle w:val="TextBody"/>
        <w:spacing w:before="360" w:after="0"/>
        <w:rPr>
          <w:rFonts w:ascii="Times New Roman" w:hAnsi="Times New Roman"/>
          <w:b/>
          <w:i w:val="false"/>
          <w:caps w:val="false"/>
          <w:smallCaps w:val="false"/>
          <w:sz w:val="20"/>
        </w:rPr>
      </w:pPr>
      <w:bookmarkStart w:id="55" w:name="ITEM_12_SECURITY_OWNERSHIP_CERTAIN_BENEF"/>
      <w:bookmarkEnd w:id="55"/>
      <w:r>
        <w:rPr>
          <w:rFonts w:ascii="Times New Roman" w:hAnsi="Times New Roman"/>
          <w:b/>
          <w:i w:val="false"/>
          <w:caps w:val="false"/>
          <w:smallCaps w:val="false"/>
          <w:sz w:val="20"/>
        </w:rPr>
        <w:t xml:space="preserve">Item 12. Security Ownership of Certain Beneficial Owners and Management and Related Stockholder Matters.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Equity Compensation Plan Information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provides information on our equity compensation plans as of March 19, 2020. Information is included for equity compensation plans approved by our stockholders. We do not have any equity compensation plans not approved by our stockholders.</w:t>
      </w:r>
    </w:p>
    <w:p>
      <w:pPr>
        <w:pStyle w:val="TextBody"/>
        <w:spacing w:before="0" w:after="0"/>
        <w:jc w:val="both"/>
        <w:rPr/>
      </w:pPr>
      <w:r>
        <w:rPr/>
        <w:t> </w:t>
      </w:r>
    </w:p>
    <w:tbl>
      <w:tblPr>
        <w:tblW w:w="8178" w:type="dxa"/>
        <w:jc w:val="center"/>
        <w:tblInd w:w="0" w:type="dxa"/>
        <w:tblCellMar>
          <w:top w:w="0" w:type="dxa"/>
          <w:left w:w="0" w:type="dxa"/>
          <w:bottom w:w="28" w:type="dxa"/>
          <w:right w:w="0" w:type="dxa"/>
        </w:tblCellMar>
      </w:tblPr>
      <w:tblGrid>
        <w:gridCol w:w="3305"/>
        <w:gridCol w:w="60"/>
        <w:gridCol w:w="76"/>
        <w:gridCol w:w="1098"/>
        <w:gridCol w:w="60"/>
        <w:gridCol w:w="60"/>
        <w:gridCol w:w="357"/>
        <w:gridCol w:w="1088"/>
        <w:gridCol w:w="60"/>
        <w:gridCol w:w="60"/>
        <w:gridCol w:w="124"/>
        <w:gridCol w:w="1770"/>
        <w:gridCol w:w="60"/>
      </w:tblGrid>
      <w:tr>
        <w:trPr/>
        <w:tc>
          <w:tcPr>
            <w:tcW w:w="330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Plan Category</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Number of</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Securities to be</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Issued upon</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Exercise of</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Outstanding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Options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4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Weighted-Average</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Exercise Price of</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Outstanding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Options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9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Number of Securities</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Remaining Available for</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Future Issuance under</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Equity Compensation</w:t>
            </w:r>
          </w:p>
          <w:p>
            <w:pPr>
              <w:pStyle w:val="TableContents"/>
              <w:spacing w:lineRule="auto" w:line="288"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Plans (2)(3)(4)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top w:val="single" w:sz="6" w:space="0" w:color="000000"/>
            </w:tcBorders>
            <w:shd w:fill="FFFFFF" w:val="clear"/>
            <w:tcMar>
              <w:top w:w="28" w:type="dxa"/>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753" w:type="dxa"/>
            <w:gridSpan w:val="10"/>
            <w:tcBorders/>
            <w:shd w:fill="FFFFFF" w:val="clear"/>
            <w:tcMar>
              <w:bottom w:w="0"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(in thousands, except per share amount)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Equity compensation plans approved by</w:t>
            </w:r>
          </w:p>
          <w:p>
            <w:pPr>
              <w:pStyle w:val="TableContents"/>
              <w:spacing w:lineRule="auto" w:line="288"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security holders(1)</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2,566,282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2,534,007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9975" w:type="dxa"/>
            <w:tcBorders/>
            <w:shd w:fill="auto" w:val="clear"/>
          </w:tcPr>
          <w:p>
            <w:pPr>
              <w:pStyle w:val="TableContents"/>
              <w:spacing w:before="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Includes securities issuable under our 2017 Equity Incentive Plan (the “2017 Plan”), the 2021 Plan and our 2021 Employee Stock Purchase Plan (the “ESPP”).</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0002" w:type="dxa"/>
            <w:tcBorders/>
            <w:shd w:fill="auto" w:val="clear"/>
          </w:tcPr>
          <w:p>
            <w:pPr>
              <w:pStyle w:val="TableContents"/>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Includes 2,294,007 and 240,000 shares of common stock available for issuance under the 2021 Plan and the ESPP, respectively, as of March 19, 2021. No shares are available for issuance under the 2017 Plan. Shares under the 2017 Plan that expire, terminate or are forfeited prior to exercise or settlement automatically become available for issuance under the 2021 Plan.</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tcPr>
          <w:p>
            <w:pPr>
              <w:pStyle w:val="TableContents"/>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10007" w:type="dxa"/>
            <w:tcBorders/>
            <w:shd w:fill="auto" w:val="clear"/>
          </w:tcPr>
          <w:p>
            <w:pPr>
              <w:pStyle w:val="TableContents"/>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number of shares of common stock reserved for issuance pursuant to equity awards under the 2021 Plan will automatically increase January 1 of each year for a period of up to ten years, commencing on January 1, 2022 and continuing through and including January 1, 2031 by the lesser of (i) the amount equal to 5% of the number of shares issued and outstanding on  the last day of the immediately preceding fiscal year or (ii) such lower number of shares as may be determined by the Board of Directors.</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tcPr>
          <w:p>
            <w:pPr>
              <w:pStyle w:val="TableContents"/>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10008" w:type="dxa"/>
            <w:tcBorders/>
            <w:shd w:fill="auto" w:val="clear"/>
          </w:tcPr>
          <w:p>
            <w:pPr>
              <w:pStyle w:val="TableContents"/>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number of shares of common stock reserved for issuance under the ESPP will increase January 1 of each year for a period of up to ten years commencing January 1, 2022 and continuing through and including January 1, 2031 by the lesser of (i) a number of shares equal to 1% of the total number of outstanding shares of common stock on December 31 immediately prior to the date of increase; (ii) such number of shares as may be determined by the Board of Directors; </w:t>
            </w:r>
            <w:r>
              <w:rPr>
                <w:rFonts w:ascii="Times New Roman" w:hAnsi="Times New Roman"/>
                <w:b w:val="false"/>
                <w:i/>
                <w:caps w:val="false"/>
                <w:smallCaps w:val="false"/>
                <w:color w:val="000000"/>
                <w:sz w:val="20"/>
              </w:rPr>
              <w:t>provided, however</w:t>
            </w:r>
            <w:r>
              <w:rPr>
                <w:rFonts w:ascii="Times New Roman" w:hAnsi="Times New Roman"/>
                <w:b w:val="false"/>
                <w:i w:val="false"/>
                <w:caps w:val="false"/>
                <w:smallCaps w:val="false"/>
                <w:color w:val="000000"/>
                <w:sz w:val="20"/>
              </w:rPr>
              <w:t xml:space="preserve">, no more than 3,300,009 shares may be issued under the ESPP. </w:t>
            </w:r>
          </w:p>
        </w:tc>
      </w:tr>
    </w:tbl>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Security Ownership of Certain Beneficial Owners and Management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as of March 19, 2021, information regarding beneficial ownership of our capital stock by: </w:t>
      </w:r>
    </w:p>
    <w:tbl>
      <w:tblPr>
        <w:tblW w:w="9355" w:type="dxa"/>
        <w:jc w:val="left"/>
        <w:tblInd w:w="0" w:type="dxa"/>
        <w:tblCellMar>
          <w:top w:w="0" w:type="dxa"/>
          <w:left w:w="0" w:type="dxa"/>
          <w:bottom w:w="0" w:type="dxa"/>
          <w:right w:w="0" w:type="dxa"/>
        </w:tblCellMar>
      </w:tblPr>
      <w:tblGrid>
        <w:gridCol w:w="60"/>
        <w:gridCol w:w="110"/>
        <w:gridCol w:w="91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1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each person, or group of affiliated persons, known by us to beneficially own more than 5% of our common stock; </w:t>
            </w:r>
          </w:p>
        </w:tc>
      </w:tr>
    </w:tbl>
    <w:tbl>
      <w:tblPr>
        <w:tblW w:w="3265" w:type="dxa"/>
        <w:jc w:val="left"/>
        <w:tblInd w:w="0" w:type="dxa"/>
        <w:tblCellMar>
          <w:top w:w="0" w:type="dxa"/>
          <w:left w:w="0" w:type="dxa"/>
          <w:bottom w:w="0" w:type="dxa"/>
          <w:right w:w="0" w:type="dxa"/>
        </w:tblCellMar>
      </w:tblPr>
      <w:tblGrid>
        <w:gridCol w:w="60"/>
        <w:gridCol w:w="110"/>
        <w:gridCol w:w="30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0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each of our named executive officers; </w:t>
            </w:r>
          </w:p>
        </w:tc>
      </w:tr>
    </w:tbl>
    <w:tbl>
      <w:tblPr>
        <w:tblW w:w="2290" w:type="dxa"/>
        <w:jc w:val="left"/>
        <w:tblInd w:w="0" w:type="dxa"/>
        <w:tblCellMar>
          <w:top w:w="0" w:type="dxa"/>
          <w:left w:w="0" w:type="dxa"/>
          <w:bottom w:w="0" w:type="dxa"/>
          <w:right w:w="0" w:type="dxa"/>
        </w:tblCellMar>
      </w:tblPr>
      <w:tblGrid>
        <w:gridCol w:w="60"/>
        <w:gridCol w:w="110"/>
        <w:gridCol w:w="21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1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each of our directors; and </w:t>
            </w:r>
          </w:p>
        </w:tc>
      </w:tr>
    </w:tbl>
    <w:tbl>
      <w:tblPr>
        <w:tblW w:w="4465" w:type="dxa"/>
        <w:jc w:val="left"/>
        <w:tblInd w:w="0" w:type="dxa"/>
        <w:tblCellMar>
          <w:top w:w="0" w:type="dxa"/>
          <w:left w:w="0" w:type="dxa"/>
          <w:bottom w:w="0" w:type="dxa"/>
          <w:right w:w="0" w:type="dxa"/>
        </w:tblCellMar>
      </w:tblPr>
      <w:tblGrid>
        <w:gridCol w:w="60"/>
        <w:gridCol w:w="110"/>
        <w:gridCol w:w="42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2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all of our executive officers and directors as a group.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162</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percentage of is based on 25,125,072 shares of common stock outstanding as of March 19, 2021. This table is based upon information supplied by officers, directors and principal stockholders and Schedules 13D and Schedules 13G, if any, filed with the SEC.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Beneficial ownership is determined according to the rules of the SEC and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March 19, 2021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Unless otherwise noted below, the address for each beneficial owner listed in the table below is c/o Terns Pharmaceuticals, Inc., 1065 East Hillsdale, Suite 100, Foster City, California 94404. </w:t>
      </w:r>
    </w:p>
    <w:p>
      <w:pPr>
        <w:pStyle w:val="TextBody"/>
        <w:spacing w:before="0" w:after="0"/>
        <w:rPr/>
      </w:pPr>
      <w:r>
        <w:rPr/>
        <w:t> </w:t>
      </w:r>
    </w:p>
    <w:tbl>
      <w:tblPr>
        <w:tblW w:w="6557" w:type="dxa"/>
        <w:jc w:val="center"/>
        <w:tblInd w:w="0" w:type="dxa"/>
        <w:tblCellMar>
          <w:top w:w="0" w:type="dxa"/>
          <w:left w:w="0" w:type="dxa"/>
          <w:bottom w:w="28" w:type="dxa"/>
          <w:right w:w="0" w:type="dxa"/>
        </w:tblCellMar>
      </w:tblPr>
      <w:tblGrid>
        <w:gridCol w:w="4025"/>
        <w:gridCol w:w="60"/>
        <w:gridCol w:w="63"/>
        <w:gridCol w:w="894"/>
        <w:gridCol w:w="63"/>
        <w:gridCol w:w="63"/>
        <w:gridCol w:w="163"/>
        <w:gridCol w:w="1041"/>
        <w:gridCol w:w="185"/>
      </w:tblGrid>
      <w:tr>
        <w:trPr/>
        <w:tc>
          <w:tcPr>
            <w:tcW w:w="402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Beneficial Ownership</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 of Beneficial Owner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Beneficially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Owned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Percent of 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Greater than 5% Stockholders: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FFFFFF"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Lilly Asia Ventures U.S.(1)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4,781,566</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CFF0FC"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Entities affiliated with OrbiMed Advisors LLC(2)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3,791,204</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FFFFFF"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Entities affiliated with Vivo Capital(3)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2,675,133</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CFF0FC"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Deerfield Partners, L.P.(4)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2,382,033</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FFFFFF"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Lilly Asia Ventures (PRC)(5)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1,411,206</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Named Executive Officers and Directors: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FFFFFF"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Erin Quirk, M.D.(6)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333,457</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CFF0FC"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Senthil Sundaram(7)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949,197</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FFFFFF"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 Vignola, Ph.D.(8)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227,807</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gridSpan w:val="2"/>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David Fellows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FFFFFF"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Carl Gordon, Ph.D., C.F.A.(9)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3,791,204</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Jeffrey Kindler, Esq.</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FFFFFF"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Hongbo Lu, Ph.D.(10)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Jill Quigley, Esq.</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FFFFFF" w:val="clear"/>
            <w:tcMar>
              <w:bottom w:w="0" w:type="dxa"/>
            </w:tcM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Weidong Zhong, Ph.D.(11)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442,299</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2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executive officers and directors as a group</w:t>
            </w:r>
          </w:p>
          <w:p>
            <w:pPr>
              <w:pStyle w:val="TableContents"/>
              <w:spacing w:lineRule="auto" w:line="288"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(10 persons)(*)(12)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6,009,739</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22.2</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pBdr>
          <w:bottom w:val="single" w:sz="6" w:space="1" w:color="000000"/>
        </w:pBdr>
        <w:spacing w:lineRule="atLeast" w:line="141" w:before="0" w:after="0"/>
        <w:jc w:val="both"/>
        <w:rPr/>
      </w:pPr>
      <w:r>
        <w:rPr/>
        <w:t> </w:t>
      </w:r>
    </w:p>
    <w:tbl>
      <w:tblPr>
        <w:tblW w:w="7810" w:type="dxa"/>
        <w:jc w:val="left"/>
        <w:tblInd w:w="0" w:type="dxa"/>
        <w:tblCellMar>
          <w:top w:w="0" w:type="dxa"/>
          <w:left w:w="0" w:type="dxa"/>
          <w:bottom w:w="0" w:type="dxa"/>
          <w:right w:w="0" w:type="dxa"/>
        </w:tblCellMar>
      </w:tblPr>
      <w:tblGrid>
        <w:gridCol w:w="110"/>
        <w:gridCol w:w="7700"/>
      </w:tblGrid>
      <w:tr>
        <w:trPr/>
        <w:tc>
          <w:tcPr>
            <w:tcW w:w="110" w:type="dxa"/>
            <w:tcBorders/>
            <w:shd w:fill="auto" w:val="clear"/>
          </w:tcPr>
          <w:p>
            <w:pPr>
              <w:pStyle w:val="TableContents"/>
              <w:spacing w:before="4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w:t>
            </w:r>
          </w:p>
        </w:tc>
        <w:tc>
          <w:tcPr>
            <w:tcW w:w="7700" w:type="dxa"/>
            <w:tcBorders/>
            <w:shd w:fill="auto" w:val="clear"/>
          </w:tcPr>
          <w:p>
            <w:pPr>
              <w:pStyle w:val="TableContents"/>
              <w:spacing w:before="4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Includes Bryan Yoon, our Chief Operating Officer and General Counsel, who is not named in the table above. </w:t>
            </w:r>
          </w:p>
        </w:tc>
      </w:tr>
    </w:tbl>
    <w:tbl>
      <w:tblPr>
        <w:tblW w:w="4150" w:type="dxa"/>
        <w:jc w:val="left"/>
        <w:tblInd w:w="0" w:type="dxa"/>
        <w:tblCellMar>
          <w:top w:w="0" w:type="dxa"/>
          <w:left w:w="0" w:type="dxa"/>
          <w:bottom w:w="0" w:type="dxa"/>
          <w:right w:w="0" w:type="dxa"/>
        </w:tblCellMar>
      </w:tblPr>
      <w:tblGrid>
        <w:gridCol w:w="140"/>
        <w:gridCol w:w="4010"/>
      </w:tblGrid>
      <w:tr>
        <w:trPr/>
        <w:tc>
          <w:tcPr>
            <w:tcW w:w="140" w:type="dxa"/>
            <w:tcBorders/>
            <w:shd w:fill="auto" w:val="clear"/>
          </w:tcPr>
          <w:p>
            <w:pPr>
              <w:pStyle w:val="TableContents"/>
              <w:spacing w:before="0" w:after="0"/>
              <w:jc w:val="both"/>
              <w:rPr>
                <w:caps w:val="false"/>
                <w:smallCaps w:val="false"/>
              </w:rPr>
            </w:pPr>
            <w:r>
              <w:rPr>
                <w:caps w:val="false"/>
                <w:smallCaps w:val="false"/>
              </w:rPr>
              <w:t>†</w:t>
            </w:r>
          </w:p>
        </w:tc>
        <w:tc>
          <w:tcPr>
            <w:tcW w:w="4010"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Represents beneficial ownership of less than one percent. </w:t>
            </w:r>
          </w:p>
        </w:tc>
      </w:tr>
    </w:tbl>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w:t>
            </w:r>
          </w:p>
        </w:tc>
        <w:tc>
          <w:tcPr>
            <w:tcW w:w="10031"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(i) 1,392,857 shares of common stock  held directly by Hopewell Resources Holdings Limited, (ii) 696,428 shares of common stock held directly by Oriental Spring Venture Limited, (iii) 1,286,698 shares of common stock  held directly by LAV Aqua Limited, and (iv) 1,405,583 shares of common stock held directly by LAV Biosciences Fund V, L.P. LAV Corporate GP, Ltd. is the general partner of LAV GP III, L.P., which is the general partner of the parent entity of Hopewell Resources Holdings Limited and Oriental Spring Venture Limited. LAV Corporate IV GP, Ltd., is the general partner of LAV GP IV, L.P., which is the general partner of the parent entity of LAV Aqua Limited. LAV Corporate V GP, Ltd., is the general partner of LAV GP V, L.P., which is the general partner of LAV Biosciences Fund V, L.P. Dr. Yi Shi is the managing partner of LAV Corporate GP, Ltd., LAV Corporate IV GP, Ltd., and LAV Corporate V, L.P. and has all voting and investment power with respect to shares beneficially held by each of Hopewell Resources Holdings Limited, Oriental Spring Venture Limited, LAV Aqua Limited and LAV Biosciences Fund V, L.P. The principal address for each of LAV Corporate GP, Ltd., LAV Corporate IV GP, Ltd., and LAV Corporate V, L.P., Hopewell Resources Holdings Limited, Oriental Spring Venture Limited, LAV Aqua Limited and LAV Biosciences Fund V, L.P. is Unit 902-904, Two ChinaChem Central, 26 Des Voeux Road Central, Hong Kong. </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(2)</w:t>
            </w:r>
          </w:p>
        </w:tc>
        <w:tc>
          <w:tcPr>
            <w:tcW w:w="10017"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(i) 2,274,723 shares of common stock held directly by OrbiMed Private Investments VII, LP, or OPI VII and (ii) 1,516,481shares of common stock held directly by OrbiMed Asia Partners III, LP, or OrbiMed Asia, Dr. Carl L. Gordon is a member of the management committee of OrbiMed Advisors LLC, or OrbiMed Advisors, and a member of our board of directors. OrbiMed Capital GP VII LLC, or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163</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OrbiMed GP VII, is the general partner of OPI VII and OrbiMed Advisors is the managing member of OrbiMed GP VII. By virtue of such relationships, OrbiMed GP VII and OrbiMed Advisors may be deemed to have voting power and investment power over the securities held by OPI VII and as a result, may be deemed to have beneficial ownership over such securities. OrbiMed Advisors exercises voting and investment power through a management committee comprised of Dr. Gordon, Sven H. Borho, and Jonathan T. Silverstein, each of whom disclaims beneficial ownership of the shares held by OPI VII. Dr. Gordon a member of the management committee of OrbiMed Advisors III Limited, or OrbiMed Advisors III, and a member of our board of directors. OrbiMed Asia GP III, or OrbiMed Asia GP, is the general partner of OrbiMed Asia and OrbiMed Advisors III is the managing member of OrbiMed Asia GP. By virtue of such relationships, OrbiMed Asia GP and OrbiMed Advisors III may be deemed to have voting power and investment power over the securities held by OrbiMed Asia and as a result, may be deemed to have beneficial ownership over such securities. OrbiMed Advisors III exercises voting and investment power through a management committee comprised of Dr. Gordon, Sven H. Borho, Jonathan T. Silverstein, Jonathan Wang, David G. Wang, Sunny Sharma, Carter W. Nield and Samuel D. Isaly, each of whom disclaims beneficial ownership of the shares held by OrbiMed Asia. The address for each of the entities and individuals identified in this footnote is c/o OrbiMed Advisors, 601 Lexington Avenue 54th Floor, New York, NY 10022. </w:t>
            </w:r>
          </w:p>
        </w:tc>
      </w:tr>
    </w:tbl>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(3)</w:t>
            </w:r>
          </w:p>
        </w:tc>
        <w:tc>
          <w:tcPr>
            <w:tcW w:w="10030"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(i) 2,036,557 shares of common stock held directly by Vivo Capital Fund VIII, L.P., or VCF, (ii) 281,223 shares of common stock held directly by Vivo Capital Surplus Fund VIII, L.P., or VCSF, and (iii) 357,353 shares of common stock held directly by Vivo Opportunity Fund, L.P., or Vivo Opportunity Fund. Vivo Capital VIII, LLC, or Vivo LLC, is the general partner of both VCF and VCSF. Dr. Hongbo Lu is a Managing Partner at Vivo Capital and a member of our board of directors. The voting members of Vivo LLC are Frank Kung, Edgar Engleman and Shan Fu, none of whom has individual voting or investment power with respect to these shares and each of whom disclaims beneficial ownership of such shares. Vivo Opportunity, LLC is the general partner of Vivo Opportunity Fund. The voting members of  Vivo Opportunity, LLC are Gaurav Aggarwal, Shan Fu, Frank Kung and Michael Chang none of whom has individual voting or investment power with respect to these shares and each of whom disclaims beneficial ownership of such shares. Dr. Lu does not have individual voting or investment power with respect to these shares and disclaims beneficial ownership of such shares. The address for each of the entities and individuals identified in this footnote is 505 Hamilton Avenue, Suite 207, Palo Alto, California 94301. </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(4)</w:t>
            </w:r>
          </w:p>
        </w:tc>
        <w:tc>
          <w:tcPr>
            <w:tcW w:w="10003"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2,382,033 shares of common stock  held directly by Deerfield Partners, L.P., or Deerfield. The address for Deerfield Partners, L.P., is c/o Deerfield Management Company, L.P., 780 Third Avenue, 37th Floor, New York, New York 10017. </w:t>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(5)</w:t>
            </w:r>
          </w:p>
        </w:tc>
        <w:tc>
          <w:tcPr>
            <w:tcW w:w="10025"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1,411,206 shares of common stock held directly by Auspice Limited. Shanghai Liyi Investment Management Partnership L.P. is the general partner of Auspice Limited. Dr. Fei Chen is the managing partner of Shanghai Liyi Investment Management Partnership L.P. Dr. Fei Chen holds all voting and investment power over all shares beneficially held by Auspice Limited. Dr. Fei Chen is a managing partner at Lilly Asia Ventures (PRC). The registered address of Shanghai Liyi Investment Management Partnership L.P. is Room 1409, Building 2, No.700 Jiahao Road, Jiading District, Shanghai 201802 P.R. China. The registered address of Auspice Limited is Room 2909-2914, #3 Corporate Avenue 168 Hubin Road, Huangpu, Shanghai, China. </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(6)</w:t>
            </w:r>
          </w:p>
        </w:tc>
        <w:tc>
          <w:tcPr>
            <w:tcW w:w="9976"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333,457 shares of common stock that may be acquired pursuant to the exercise of stock options within 60 days of March 19, 2021. </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(7)</w:t>
            </w:r>
          </w:p>
        </w:tc>
        <w:tc>
          <w:tcPr>
            <w:tcW w:w="9976"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949,197 shares of common stock that may be acquired pursuant to the exercise of stock options within 60 days of March 19, 2021. </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(8)</w:t>
            </w:r>
          </w:p>
        </w:tc>
        <w:tc>
          <w:tcPr>
            <w:tcW w:w="9976"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227,807 shares of common stock that may be acquired pursuant to the exercise of stock options within 60 days of March 19, 2021. </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(9)</w:t>
            </w:r>
          </w:p>
        </w:tc>
        <w:tc>
          <w:tcPr>
            <w:tcW w:w="9986"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the shares described in footnote (2) above. Dr. Gordon disclaims beneficial ownership of such shares except to the extent of his pecuniary interest therein, if any. </w:t>
            </w:r>
          </w:p>
        </w:tc>
      </w:tr>
    </w:tbl>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(10)</w:t>
            </w:r>
          </w:p>
        </w:tc>
        <w:tc>
          <w:tcPr>
            <w:tcW w:w="9903"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Does not include the shares of common stock held by Vivo Capital described in footnote (3) above. Dr. Hongbo Lu is a Managing Partner at Vivo Capital and a member of our board of directors. </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(11)</w:t>
            </w:r>
          </w:p>
        </w:tc>
        <w:tc>
          <w:tcPr>
            <w:tcW w:w="9910"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Consists of (i) 285,714 shares of common stock held directly by Dr. Weidong Zhong and (ii) 156,585 shares of common stock that may be acquired pursuant to the exercise of stock options within 60 days of March 19, 2021. </w:t>
            </w:r>
          </w:p>
        </w:tc>
      </w:tr>
    </w:tbl>
    <w:tbl>
      <w:tblPr>
        <w:tblW w:w="10205" w:type="dxa"/>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(12)</w:t>
            </w:r>
          </w:p>
        </w:tc>
        <w:tc>
          <w:tcPr>
            <w:tcW w:w="9898"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Includes (i) 4,076,918 shares held by our current directors and executive officers and (ii) 1,932,821 shares subject to options exercisable within 60 days of March 19, 2021. </w:t>
            </w:r>
          </w:p>
        </w:tc>
      </w:tr>
    </w:tbl>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164</w:t>
      </w:r>
    </w:p>
    <w:p>
      <w:pPr>
        <w:pStyle w:val="HorizontalLine"/>
        <w:rPr/>
      </w:pPr>
      <w:r>
        <w:rPr/>
      </w:r>
    </w:p>
    <w:p>
      <w:pPr>
        <w:pStyle w:val="TextBody"/>
        <w:spacing w:before="0" w:after="0"/>
        <w:rPr/>
      </w:pPr>
      <w:r>
        <w:rPr/>
        <w:t> </w:t>
      </w:r>
    </w:p>
    <w:p>
      <w:pPr>
        <w:pStyle w:val="TextBody"/>
        <w:spacing w:before="160" w:after="0"/>
        <w:rPr>
          <w:rFonts w:ascii="Times New Roman" w:hAnsi="Times New Roman"/>
          <w:b/>
          <w:i w:val="false"/>
          <w:caps w:val="false"/>
          <w:smallCaps w:val="false"/>
          <w:sz w:val="20"/>
        </w:rPr>
      </w:pPr>
      <w:bookmarkStart w:id="56" w:name="ITEM_13_CERTAIN_RELATIONSHIPS_RELATED_TR"/>
      <w:bookmarkEnd w:id="56"/>
      <w:r>
        <w:rPr>
          <w:rFonts w:ascii="Times New Roman" w:hAnsi="Times New Roman"/>
          <w:b/>
          <w:i w:val="false"/>
          <w:caps w:val="false"/>
          <w:smallCaps w:val="false"/>
          <w:sz w:val="20"/>
        </w:rPr>
        <w:t xml:space="preserve">Item 13. Certain Relationships and Related Transactions, and Director Independence.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than compensation arrangements, including employment arrangements, with our directors and executive officers, including those discussed in “Item 11. Executive Compensation” of this Annual Report on Form 10-K, the following is a description of each transaction since January 1, 2020 in which:</w:t>
      </w:r>
    </w:p>
    <w:tbl>
      <w:tblPr>
        <w:tblW w:w="2950" w:type="dxa"/>
        <w:jc w:val="left"/>
        <w:tblInd w:w="0" w:type="dxa"/>
        <w:tblCellMar>
          <w:top w:w="0" w:type="dxa"/>
          <w:left w:w="0" w:type="dxa"/>
          <w:bottom w:w="0" w:type="dxa"/>
          <w:right w:w="0" w:type="dxa"/>
        </w:tblCellMar>
      </w:tblPr>
      <w:tblGrid>
        <w:gridCol w:w="60"/>
        <w:gridCol w:w="110"/>
        <w:gridCol w:w="2780"/>
      </w:tblGrid>
      <w:tr>
        <w:trPr/>
        <w:tc>
          <w:tcPr>
            <w:tcW w:w="60" w:type="dxa"/>
            <w:tcBorders/>
            <w:shd w:fill="auto" w:val="clear"/>
          </w:tcPr>
          <w:p>
            <w:pPr>
              <w:pStyle w:val="TableContents"/>
              <w:spacing w:before="12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both"/>
              <w:rPr>
                <w:caps w:val="false"/>
                <w:smallCaps w:val="false"/>
                <w:color w:val="000000"/>
                <w:spacing w:val="0"/>
              </w:rPr>
            </w:pPr>
            <w:r>
              <w:rPr>
                <w:caps w:val="false"/>
                <w:smallCaps w:val="false"/>
                <w:color w:val="000000"/>
                <w:spacing w:val="0"/>
              </w:rPr>
              <w:t>•</w:t>
            </w:r>
          </w:p>
        </w:tc>
        <w:tc>
          <w:tcPr>
            <w:tcW w:w="2780" w:type="dxa"/>
            <w:tcBorders/>
            <w:shd w:fill="auto" w:val="clear"/>
          </w:tcPr>
          <w:p>
            <w:pPr>
              <w:pStyle w:val="TableContents"/>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were a party or will be a party; </w:t>
            </w:r>
          </w:p>
        </w:tc>
      </w:tr>
    </w:tbl>
    <w:tbl>
      <w:tblPr>
        <w:tblW w:w="5230" w:type="dxa"/>
        <w:jc w:val="left"/>
        <w:tblInd w:w="0" w:type="dxa"/>
        <w:tblCellMar>
          <w:top w:w="0" w:type="dxa"/>
          <w:left w:w="0" w:type="dxa"/>
          <w:bottom w:w="0" w:type="dxa"/>
          <w:right w:w="0" w:type="dxa"/>
        </w:tblCellMar>
      </w:tblPr>
      <w:tblGrid>
        <w:gridCol w:w="60"/>
        <w:gridCol w:w="110"/>
        <w:gridCol w:w="5060"/>
      </w:tblGrid>
      <w:tr>
        <w:trPr/>
        <w:tc>
          <w:tcPr>
            <w:tcW w:w="60" w:type="dxa"/>
            <w:tcBorders/>
            <w:shd w:fill="auto" w:val="clear"/>
          </w:tcPr>
          <w:p>
            <w:pPr>
              <w:pStyle w:val="TableContents"/>
              <w:spacing w:before="12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both"/>
              <w:rPr>
                <w:caps w:val="false"/>
                <w:smallCaps w:val="false"/>
                <w:color w:val="000000"/>
                <w:spacing w:val="0"/>
              </w:rPr>
            </w:pPr>
            <w:r>
              <w:rPr>
                <w:caps w:val="false"/>
                <w:smallCaps w:val="false"/>
                <w:color w:val="000000"/>
                <w:spacing w:val="0"/>
              </w:rPr>
              <w:t>•</w:t>
            </w:r>
          </w:p>
        </w:tc>
        <w:tc>
          <w:tcPr>
            <w:tcW w:w="5060" w:type="dxa"/>
            <w:tcBorders/>
            <w:shd w:fill="auto" w:val="clear"/>
          </w:tcPr>
          <w:p>
            <w:pPr>
              <w:pStyle w:val="TableContents"/>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amounts involved exceeded or will exceed $120,000;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any of our directors, executive officers or holders of more than 5% of our capital stock, or an affiliate or immediate family member thereof, had or will have a direct or indirect material interest.</w:t>
            </w:r>
          </w:p>
        </w:tc>
      </w:tr>
    </w:tbl>
    <w:p>
      <w:pPr>
        <w:pStyle w:val="TextBody"/>
        <w:spacing w:before="0" w:after="0"/>
        <w:jc w:val="both"/>
        <w:rPr/>
      </w:pPr>
      <w:r>
        <w:rPr/>
        <w:t> </w:t>
      </w:r>
    </w:p>
    <w:p>
      <w:pPr>
        <w:pStyle w:val="TextBody"/>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2020 Bridge Loan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May 2020, Terns China Biotechnology Co., Ltd. entered into a bridge loan, or the Bridge Loan, with certain entities that are a part of Lilly Asia Ventures, which beneficially owned more than 5% of our outstanding capital stock at the time of the bridge loan financing, for the aggregate principal amount of approximately $1.8 million.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connection with the closing of the Series C convertible preferred stock financing, entities affiliated with Lilly Asia Ventures, or LAV, agreed to effectively convert the Bridge Loan into shares of our Series C preferred stock on the same terms as the 2020 Notes, as described in more detail below. The conversion will be based on an outstanding loan balance equal to $1.9 million, consisting of (i) the principal loan amount ($1.8 million) plus (ii) accrued interest through December 29, 2020 ($0.1 million).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help facilitate the transfer of cash from China to the United States to effectively convert the Bridge Loan, we and Terns China agreed to enter into an agreement with LAV to (i) repay the Bridge Loan, and (ii) issue shares of Series C convertible preferred stock at the initial closing to entities that are a part of Lilly Asia Ventures in exchange for a promissory note issued to us by LAV, or the LAV Affiliate Promissory Note.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December 29, 2020, the Bridge Loan was amended to clarify that (i) interest will accrue up to and through December 29, 2020, with no additional interest accruing after December 29, 2020 and (ii) the Bridge Loan will be repaid in full by us following the requisite government approvals in China. Proceeds from the repayment of the Bridge Loan by Terns China will be used by LAV to repay the LAV Affiliate Promissory Note in full to us.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Series C Preferred Stock Financing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2020, we entered into a Series C convertible preferred stock purchase agreement with various investors, pursuant to which we issued an aggregate of 7,500,665 shares of Series C convertible preferred stock at $11.65 per share for gross proceeds of approximately $87.4 million, which amount includes the conversion of the 2020 Notes and effective conversion of the Bridge Loan. </w:t>
      </w:r>
    </w:p>
    <w:p>
      <w:pPr>
        <w:pStyle w:val="TextBody"/>
        <w:spacing w:before="240" w:after="0"/>
        <w:jc w:val="center"/>
        <w:rPr>
          <w:rFonts w:ascii="Times New Roman" w:hAnsi="Times New Roman"/>
          <w:b w:val="false"/>
          <w:i w:val="false"/>
          <w:caps w:val="false"/>
          <w:smallCaps w:val="false"/>
          <w:sz w:val="20"/>
        </w:rPr>
      </w:pPr>
      <w:bookmarkStart w:id="57" w:name="_AEIOULastRenderedPageBreakAEIOU26"/>
      <w:bookmarkEnd w:id="57"/>
      <w:r>
        <w:rPr>
          <w:rFonts w:ascii="Times New Roman" w:hAnsi="Times New Roman"/>
          <w:b w:val="false"/>
          <w:i w:val="false"/>
          <w:caps w:val="false"/>
          <w:smallCaps w:val="false"/>
          <w:sz w:val="20"/>
        </w:rPr>
        <w:t>165</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table below sets forth the number of shares of our Series C convertible preferred stock purchased by our executive officers, directors, holders of more than 5% of our capital stock and their affiliated entities or immediate family members. Each share of Series C convertible preferred stock in the table below converted into one share of our common stock immediately prior to the completion of our IPO. </w:t>
      </w:r>
    </w:p>
    <w:p>
      <w:pPr>
        <w:pStyle w:val="TextBody"/>
        <w:spacing w:before="0" w:after="0"/>
        <w:rPr/>
      </w:pPr>
      <w:r>
        <w:rPr/>
        <w:t> </w:t>
      </w:r>
    </w:p>
    <w:tbl>
      <w:tblPr>
        <w:tblW w:w="6255" w:type="dxa"/>
        <w:jc w:val="center"/>
        <w:tblInd w:w="0" w:type="dxa"/>
        <w:tblCellMar>
          <w:top w:w="0" w:type="dxa"/>
          <w:left w:w="0" w:type="dxa"/>
          <w:bottom w:w="28" w:type="dxa"/>
          <w:right w:w="0" w:type="dxa"/>
        </w:tblCellMar>
      </w:tblPr>
      <w:tblGrid>
        <w:gridCol w:w="4025"/>
        <w:gridCol w:w="60"/>
        <w:gridCol w:w="60"/>
        <w:gridCol w:w="845"/>
        <w:gridCol w:w="60"/>
        <w:gridCol w:w="60"/>
        <w:gridCol w:w="64"/>
        <w:gridCol w:w="1021"/>
        <w:gridCol w:w="60"/>
      </w:tblGrid>
      <w:tr>
        <w:trPr/>
        <w:tc>
          <w:tcPr>
            <w:tcW w:w="40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C</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Cash Purchase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top w:val="single" w:sz="6" w:space="0" w:color="000000"/>
            </w:tcBorders>
            <w:shd w:fill="CFF0FC" w:val="clear"/>
            <w:tcMar>
              <w:top w:w="28" w:type="dxa"/>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Lilly Asia Ventures (U.S.)(2)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1,739,901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20,266,385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Entities affiliated with OrbiMed Advisors LLC(3)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1,530,491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17,827,190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CFF0FC"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Entities affiliated with Vivo Capital(4)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414,420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4,827,190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Deerfield Partners, L.P.(5)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1,717,033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20,000,000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25" w:type="dxa"/>
            <w:tcBorders/>
            <w:shd w:fill="CFF0FC"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Lilly Asia Ventures (PRC)(6)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167,159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1,947,073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lineRule="atLeast" w:line="141" w:before="0" w:after="0"/>
        <w:rPr/>
      </w:pPr>
      <w:r>
        <w:rPr/>
        <w:t> </w:t>
      </w:r>
    </w:p>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4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w:t>
            </w:r>
          </w:p>
        </w:tc>
        <w:tc>
          <w:tcPr>
            <w:tcW w:w="9993" w:type="dxa"/>
            <w:tcBorders/>
            <w:shd w:fill="auto" w:val="clear"/>
          </w:tcPr>
          <w:p>
            <w:pPr>
              <w:pStyle w:val="TableContents"/>
              <w:spacing w:before="4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For additional information regarding these stockholders and their equity holdings, see Item 12. “Security Ownership of Certain Beneficial Owners and Management and Related Stockholder Matters.”</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(2)</w:t>
            </w:r>
          </w:p>
        </w:tc>
        <w:tc>
          <w:tcPr>
            <w:tcW w:w="10028"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Entities that are a part of Lilly Asia Ventures (U.S.) beneficially owned more than 5% of our outstanding capital stock at the time of the Series C convertible preferred stock financing. Dr. Yi Shi was at the time of the Series C convertible preferred stock financing, a member of our board of directors. Dr. Shi was designated to serve as a member of our board of directors by Lilly Asia Ventures (U.S.). Dr. Shi is a Managing Partner at Lilly Asia Ventures. (U.S.). Dr. Shi holds all voting and investment power over all shares beneficially held by entities that are part of Lilly Asia Ventures (U.S.). In addition, Dr. Hongbo Lu is currently, and was at the time of the Series C convertible preferred stock financing, a member of our board of directors. Dr. Lu was originally designated to serve as a member of our board of directors by Lilly Asia Ventures (U.S.). Dr. Lu was at the time of the Series C convertible preferred stock financing a Managing Partner at Lilly Asia Ventures (U.S.). Currently, Dr. Lu is a Managing Partner at Vivo Capital and is no longer affiliated with Lilly Asia Ventures (U.S.). </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(3)</w:t>
            </w:r>
          </w:p>
        </w:tc>
        <w:tc>
          <w:tcPr>
            <w:tcW w:w="10019"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Entities affiliated with OrbiMed Advisors LLC beneficially owned more than 5% of our outstanding capital stock at the time of the Series C convertible preferred stock financing. Dr. Carl Gordon is currently, and was at the time of the Series C convertible preferred stock financing, a member of our board of directors. Dr. Gordon was designated to serve as a member of our board of directors by OrbiMed Advisors LLC. Dr. Gordon is a Managing Partner at OrbiMed Advisors LLC. </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(4)</w:t>
            </w:r>
          </w:p>
        </w:tc>
        <w:tc>
          <w:tcPr>
            <w:tcW w:w="10022"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Entities affiliated with Vivo Capital beneficially owned more than 5% of our outstanding capital stock at the time of the Series C convertible preferred stock financing. Dr. Weidong Liu was at the time of the Series C convertible preferred stock financing, a member of our board of directors. Dr. Liu was designated to serve as a member of our board of directors by Vivo Capital. Dr. Liu is a Principal at Vivo Capital. In addition, Dr. Hongbo Lu is currently, and was at the time of the Series C convertible preferred stock financing, a member of our Board of Directors. Dr. Lu is a Managing Partner at Vivo Capital. </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(5)</w:t>
            </w:r>
          </w:p>
        </w:tc>
        <w:tc>
          <w:tcPr>
            <w:tcW w:w="10016"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Entities affiliated with Deerfield Partners, L.P. became beneficial owners of more than 5% of our outstanding capital stock at the time of the Series C convertible preferred stock financing. Ms. Elise Wang was designated to serve as a member of our board of directors by Deerfield Partners, L.P. after the closing of the Series C convertible preferred stock financing. Ms. Wang is a Principal at Deerfield Management Company. </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(6)</w:t>
            </w:r>
          </w:p>
        </w:tc>
        <w:tc>
          <w:tcPr>
            <w:tcW w:w="10015" w:type="dxa"/>
            <w:tcBorders/>
            <w:shd w:fill="auto" w:val="clear"/>
          </w:tcPr>
          <w:p>
            <w:pPr>
              <w:pStyle w:val="TableContents"/>
              <w:spacing w:before="0" w:after="0"/>
              <w:jc w:val="both"/>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 xml:space="preserve">Entities that are a part of Lilly Asia Ventures (PRC) were beneficial owners of more than 5% of our outstanding capital stock at the time of the Series C convertible preferred stock financing. Dr. Fei Chen holds all voting and investment power over all shares beneficially held by entities that are a part of Lilly Asia Ventures (PRC). Dr. Fei Chen is a managing partner at Lilly Asia Ventures (PRC). </w:t>
            </w:r>
          </w:p>
        </w:tc>
      </w:tr>
    </w:tbl>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Investors’ Rights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entered into an amended and restated investors’ rights agreement with the purchasers of our convertible preferred stock, which was subsequently converted into common stock in connection with the IPO, and certain of our other stockholders, including certain of our directors and executive officers, holders of more than 5% of our capital stock and entities with which certain of our directors are affiliated. As of December 31, 2020, the holders of approximately 16,079,230 shares of our common stock are entitled to rights with respect to the registration of their shares under the Securities Act.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Indemnification Agreements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entered into indemnification agreements with certain of our current directors, executive officers and certain other employees. Our amended and restated certificate of incorporation and our amended and restated bylaws provide that we will indemnify our directors and officers to the fullest extent permitted by applicable law.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166</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Employment Agreements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entered into employment agreements with our named executive officers. For more information regarding these agreements, see Item 11. “Executive Compensation—Executive Compensation Arrangements—Offer Letter Agreements.”</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Policies and Procedures for Related Person Transactions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of directors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w:t>
      </w:r>
    </w:p>
    <w:p>
      <w:pPr>
        <w:pStyle w:val="TextBody"/>
        <w:spacing w:before="0" w:after="0"/>
        <w:jc w:val="both"/>
        <w:rPr/>
      </w:pPr>
      <w:r>
        <w:rPr/>
        <w:t> </w:t>
      </w:r>
    </w:p>
    <w:p>
      <w:pPr>
        <w:pStyle w:val="TextBody"/>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Director Independence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of directors currently consists of 7 members. Our board of directors has determined that all of our directors, other than Mr. Sundaram and Dr. Zhong, qualify as “independent” directors in accordance with The Nasdaq Stock Market LLC, or Nasdaq, Marketplace Rules, or the Nasdaq Listing Rules. Mr. Sundaram and Dr. Zhong are not considered independent because they are executive officers of our company.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Listing Rules, our board of directors has made a subjective determination as to each independent director that no relationships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relationships as they may relate to us and our management. </w:t>
      </w:r>
    </w:p>
    <w:p>
      <w:pPr>
        <w:pStyle w:val="TextBody"/>
        <w:spacing w:before="0" w:after="0"/>
        <w:jc w:val="both"/>
        <w:rPr/>
      </w:pPr>
      <w:r>
        <w:rPr/>
        <w:t> </w:t>
      </w:r>
    </w:p>
    <w:p>
      <w:pPr>
        <w:pStyle w:val="TextBody"/>
        <w:spacing w:before="160" w:after="0"/>
        <w:rPr>
          <w:rFonts w:ascii="Times New Roman" w:hAnsi="Times New Roman"/>
          <w:b/>
          <w:i w:val="false"/>
          <w:caps w:val="false"/>
          <w:smallCaps w:val="false"/>
          <w:sz w:val="20"/>
        </w:rPr>
      </w:pPr>
      <w:bookmarkStart w:id="58" w:name="ITEM_14_PRINCIPAL_ACCOUNTING_FEES_SERVIC"/>
      <w:bookmarkEnd w:id="58"/>
      <w:r>
        <w:rPr>
          <w:rFonts w:ascii="Times New Roman" w:hAnsi="Times New Roman"/>
          <w:b/>
          <w:i w:val="false"/>
          <w:caps w:val="false"/>
          <w:smallCaps w:val="false"/>
          <w:sz w:val="20"/>
        </w:rPr>
        <w:t xml:space="preserve">Item 14. Principal Accounting Fees and Services.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represents aggregate fees billed to the Company by Ernst &amp; Young LLP, for the fiscal years ended December 31, 2020 and 2019:</w:t>
      </w:r>
    </w:p>
    <w:p>
      <w:pPr>
        <w:pStyle w:val="TextBody"/>
        <w:spacing w:before="0" w:after="0"/>
        <w:rPr/>
      </w:pPr>
      <w:r>
        <w:rPr/>
        <w:t> </w:t>
      </w:r>
    </w:p>
    <w:tbl>
      <w:tblPr>
        <w:tblW w:w="3130" w:type="dxa"/>
        <w:jc w:val="center"/>
        <w:tblInd w:w="0" w:type="dxa"/>
        <w:tblCellMar>
          <w:top w:w="0" w:type="dxa"/>
          <w:left w:w="0" w:type="dxa"/>
          <w:bottom w:w="28" w:type="dxa"/>
          <w:right w:w="0" w:type="dxa"/>
        </w:tblCellMar>
      </w:tblPr>
      <w:tblGrid>
        <w:gridCol w:w="1100"/>
        <w:gridCol w:w="60"/>
        <w:gridCol w:w="125"/>
        <w:gridCol w:w="845"/>
        <w:gridCol w:w="60"/>
        <w:gridCol w:w="60"/>
        <w:gridCol w:w="125"/>
        <w:gridCol w:w="695"/>
        <w:gridCol w:w="60"/>
      </w:tblGrid>
      <w:tr>
        <w:trPr/>
        <w:tc>
          <w:tcPr>
            <w:tcW w:w="11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00" w:type="dxa"/>
            <w:tcBorders/>
            <w:shd w:fill="CFF0FC"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Audit fees(1)</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1,691,800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125,740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fees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0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other fees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0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fees</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1,691,800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125,740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4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62" w:type="dxa"/>
            <w:tcBorders/>
            <w:shd w:fill="auto" w:val="clear"/>
          </w:tcPr>
          <w:p>
            <w:pPr>
              <w:pStyle w:val="TableContents"/>
              <w:spacing w:before="40" w:after="0"/>
              <w:jc w:val="both"/>
              <w:rPr>
                <w:b w:val="false"/>
                <w:i w:val="false"/>
                <w:caps w:val="false"/>
                <w:smallCaps w:val="false"/>
                <w:color w:val="000000"/>
              </w:rPr>
            </w:pPr>
            <w:r>
              <w:rPr>
                <w:b w:val="false"/>
                <w:i w:val="false"/>
                <w:caps w:val="false"/>
                <w:smallCaps w:val="false"/>
                <w:color w:val="000000"/>
              </w:rPr>
              <w:t>Audit fees consist of fees for the audit of our annual financial statements, the review of our interim financial statements, and services provided in connection with the registration statement for the IPO of our common stock, which was completed in February 2021.</w:t>
            </w:r>
          </w:p>
        </w:tc>
      </w:tr>
    </w:tbl>
    <w:p>
      <w:pPr>
        <w:pStyle w:val="TextBody"/>
        <w:spacing w:before="0" w:after="0"/>
        <w:jc w:val="both"/>
        <w:rPr/>
      </w:pPr>
      <w:r>
        <w:rPr/>
        <w:t> </w:t>
      </w:r>
    </w:p>
    <w:p>
      <w:pPr>
        <w:pStyle w:val="TextBody"/>
        <w:spacing w:before="1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Audit Committee Pre-approval Policy and Procedures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service is specifically approved in advance by our audit committee or the engagement is entered into pursuant to the pre-approval procedure described below.</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our 2020 fiscal year, no services were provided to us by Ernst &amp; Young LLP other than in accordance with the pre-approval policies and procedures described above.</w:t>
      </w:r>
    </w:p>
    <w:p>
      <w:pPr>
        <w:pStyle w:val="TextBody"/>
        <w:spacing w:before="0" w:after="0"/>
        <w:jc w:val="both"/>
        <w:rPr/>
      </w:pPr>
      <w:r>
        <w:rPr/>
        <w:t> </w:t>
      </w:r>
    </w:p>
    <w:p>
      <w:pPr>
        <w:pStyle w:val="TextBody"/>
        <w:shd w:fill="FFFFFF" w:val="clear"/>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59" w:name="Part_IV"/>
      <w:bookmarkStart w:id="60" w:name="_AEIOULastRenderedPageBreakAEIOU27"/>
      <w:bookmarkEnd w:id="59"/>
      <w:bookmarkEnd w:id="60"/>
      <w:r>
        <w:rPr>
          <w:rFonts w:ascii="Times New Roman" w:hAnsi="Times New Roman"/>
          <w:b/>
          <w:i w:val="false"/>
          <w:caps w:val="false"/>
          <w:smallCaps w:val="false"/>
          <w:sz w:val="20"/>
        </w:rPr>
        <w:t xml:space="preserve">PART IV </w:t>
      </w:r>
    </w:p>
    <w:p>
      <w:pPr>
        <w:pStyle w:val="TextBody"/>
        <w:spacing w:before="240" w:after="0"/>
        <w:jc w:val="both"/>
        <w:rPr>
          <w:rFonts w:ascii="Times New Roman" w:hAnsi="Times New Roman"/>
          <w:b/>
          <w:i w:val="false"/>
          <w:caps w:val="false"/>
          <w:smallCaps w:val="false"/>
          <w:sz w:val="20"/>
        </w:rPr>
      </w:pPr>
      <w:bookmarkStart w:id="61" w:name="ITEM_15_EXHIBITS_FINANCIAL_STATEMENT_SCH"/>
      <w:bookmarkEnd w:id="61"/>
      <w:r>
        <w:rPr>
          <w:rFonts w:ascii="Times New Roman" w:hAnsi="Times New Roman"/>
          <w:b/>
          <w:i w:val="false"/>
          <w:caps w:val="false"/>
          <w:smallCaps w:val="false"/>
          <w:sz w:val="20"/>
        </w:rPr>
        <w:t xml:space="preserve">Item 15. Exhibits, Financial Statement Schedules. </w:t>
      </w:r>
    </w:p>
    <w:tbl>
      <w:tblPr>
        <w:tblW w:w="2320" w:type="dxa"/>
        <w:jc w:val="left"/>
        <w:tblInd w:w="0" w:type="dxa"/>
        <w:tblCellMar>
          <w:top w:w="0" w:type="dxa"/>
          <w:left w:w="0" w:type="dxa"/>
          <w:bottom w:w="0" w:type="dxa"/>
          <w:right w:w="0" w:type="dxa"/>
        </w:tblCellMar>
      </w:tblPr>
      <w:tblGrid>
        <w:gridCol w:w="60"/>
        <w:gridCol w:w="455"/>
        <w:gridCol w:w="18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455"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(a)(1)</w:t>
            </w:r>
          </w:p>
        </w:tc>
        <w:tc>
          <w:tcPr>
            <w:tcW w:w="1805"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Financial Statements. </w:t>
            </w:r>
          </w:p>
        </w:tc>
      </w:tr>
    </w:tbl>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response to this portion of Item 15 is set forth under Part II, Item 8 above.</w:t>
      </w:r>
    </w:p>
    <w:tbl>
      <w:tblPr>
        <w:tblW w:w="3115" w:type="dxa"/>
        <w:jc w:val="left"/>
        <w:tblInd w:w="0" w:type="dxa"/>
        <w:tblCellMar>
          <w:top w:w="0" w:type="dxa"/>
          <w:left w:w="0" w:type="dxa"/>
          <w:bottom w:w="0" w:type="dxa"/>
          <w:right w:w="0" w:type="dxa"/>
        </w:tblCellMar>
      </w:tblPr>
      <w:tblGrid>
        <w:gridCol w:w="60"/>
        <w:gridCol w:w="455"/>
        <w:gridCol w:w="26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455"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(a)(2)</w:t>
            </w:r>
          </w:p>
        </w:tc>
        <w:tc>
          <w:tcPr>
            <w:tcW w:w="2600"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Financial Statement Schedules. </w:t>
            </w:r>
          </w:p>
        </w:tc>
      </w:tr>
    </w:tbl>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schedules have been omitted because they are not required or because the required information is given in the Financial Statements or Notes thereto set forth under Item 8 above.</w:t>
      </w:r>
    </w:p>
    <w:tbl>
      <w:tblPr>
        <w:tblW w:w="1270" w:type="dxa"/>
        <w:jc w:val="left"/>
        <w:tblInd w:w="0" w:type="dxa"/>
        <w:tblCellMar>
          <w:top w:w="0" w:type="dxa"/>
          <w:left w:w="0" w:type="dxa"/>
          <w:bottom w:w="0" w:type="dxa"/>
          <w:right w:w="0" w:type="dxa"/>
        </w:tblCellMar>
      </w:tblPr>
      <w:tblGrid>
        <w:gridCol w:w="60"/>
        <w:gridCol w:w="455"/>
        <w:gridCol w:w="7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455"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(a)(3)</w:t>
            </w:r>
          </w:p>
        </w:tc>
        <w:tc>
          <w:tcPr>
            <w:tcW w:w="755" w:type="dxa"/>
            <w:tcBorders/>
            <w:shd w:fill="auto" w:val="clear"/>
          </w:tcPr>
          <w:p>
            <w:pPr>
              <w:pStyle w:val="TableContents"/>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Exhibits </w:t>
            </w:r>
          </w:p>
        </w:tc>
      </w:tr>
    </w:tbl>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exhibits listed in the Exhibit Index below are filed or incorporated by reference as part of this Annual Report. </w:t>
      </w:r>
    </w:p>
    <w:p>
      <w:pPr>
        <w:pStyle w:val="TextBody"/>
        <w:spacing w:before="360" w:after="0"/>
        <w:jc w:val="both"/>
        <w:rPr>
          <w:rFonts w:ascii="Times New Roman" w:hAnsi="Times New Roman"/>
          <w:b/>
          <w:i w:val="false"/>
          <w:caps w:val="false"/>
          <w:smallCaps w:val="false"/>
          <w:sz w:val="20"/>
        </w:rPr>
      </w:pPr>
      <w:bookmarkStart w:id="62" w:name="ITEM_16_FORM_10K_SUMMARY"/>
      <w:bookmarkEnd w:id="62"/>
      <w:r>
        <w:rPr>
          <w:rFonts w:ascii="Times New Roman" w:hAnsi="Times New Roman"/>
          <w:b/>
          <w:i w:val="false"/>
          <w:caps w:val="false"/>
          <w:smallCaps w:val="false"/>
          <w:sz w:val="20"/>
        </w:rPr>
        <w:t>Item 16. Form 10-K Summary</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0" w:after="0"/>
        <w:rPr/>
      </w:pPr>
      <w:r>
        <w:rPr/>
        <w:t> </w:t>
      </w:r>
    </w:p>
    <w:tbl>
      <w:tblPr>
        <w:tblW w:w="10205" w:type="dxa"/>
        <w:jc w:val="center"/>
        <w:tblInd w:w="0" w:type="dxa"/>
        <w:tblCellMar>
          <w:top w:w="0" w:type="dxa"/>
          <w:left w:w="0" w:type="dxa"/>
          <w:bottom w:w="0" w:type="dxa"/>
          <w:right w:w="0" w:type="dxa"/>
        </w:tblCellMar>
      </w:tblPr>
      <w:tblGrid>
        <w:gridCol w:w="695"/>
        <w:gridCol w:w="60"/>
        <w:gridCol w:w="6791"/>
        <w:gridCol w:w="458"/>
        <w:gridCol w:w="678"/>
        <w:gridCol w:w="605"/>
        <w:gridCol w:w="918"/>
      </w:tblGrid>
      <w:tr>
        <w:trPr/>
        <w:tc>
          <w:tcPr>
            <w:tcW w:w="69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791" w:type="dxa"/>
            <w:tcBorders/>
            <w:shd w:fill="auto" w:val="clear"/>
            <w:vAlign w:val="bottom"/>
          </w:tcPr>
          <w:p>
            <w:pPr>
              <w:pStyle w:val="TableContents"/>
              <w:spacing w:before="0" w:after="0"/>
              <w:ind w:left="0" w:right="0" w:hanging="0"/>
              <w:jc w:val="center"/>
              <w:rPr/>
            </w:pPr>
            <w:r>
              <w:rPr/>
              <w:t> </w:t>
            </w:r>
          </w:p>
        </w:tc>
        <w:tc>
          <w:tcPr>
            <w:tcW w:w="1741" w:type="dxa"/>
            <w:gridSpan w:val="3"/>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w:t>
            </w:r>
          </w:p>
        </w:tc>
        <w:tc>
          <w:tcPr>
            <w:tcW w:w="918"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r>
      <w:tr>
        <w:trPr/>
        <w:tc>
          <w:tcPr>
            <w:tcW w:w="69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Number</w:t>
            </w:r>
          </w:p>
        </w:tc>
        <w:tc>
          <w:tcPr>
            <w:tcW w:w="60" w:type="dxa"/>
            <w:tcBorders/>
            <w:shd w:fill="auto" w:val="clear"/>
          </w:tcPr>
          <w:p>
            <w:pPr>
              <w:pStyle w:val="TableContents"/>
              <w:spacing w:before="0" w:after="0"/>
              <w:ind w:left="0" w:right="0" w:hanging="0"/>
              <w:jc w:val="center"/>
              <w:rPr/>
            </w:pPr>
            <w:r>
              <w:rPr/>
              <w:t> </w:t>
            </w:r>
          </w:p>
        </w:tc>
        <w:tc>
          <w:tcPr>
            <w:tcW w:w="6791"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Exhibit Description</w:t>
            </w:r>
          </w:p>
        </w:tc>
        <w:tc>
          <w:tcPr>
            <w:tcW w:w="458"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Form</w:t>
            </w:r>
          </w:p>
        </w:tc>
        <w:tc>
          <w:tcPr>
            <w:tcW w:w="678"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Date</w:t>
            </w:r>
          </w:p>
        </w:tc>
        <w:tc>
          <w:tcPr>
            <w:tcW w:w="605"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Number</w:t>
            </w:r>
          </w:p>
        </w:tc>
        <w:tc>
          <w:tcPr>
            <w:tcW w:w="918"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Filed Herewith</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tcPr>
          <w:p>
            <w:pPr>
              <w:pStyle w:val="TableContents"/>
              <w:spacing w:before="0" w:after="0"/>
              <w:ind w:left="0" w:right="0" w:hanging="0"/>
              <w:rPr/>
            </w:pPr>
            <w:r>
              <w:rPr/>
              <w:t> </w:t>
            </w:r>
          </w:p>
        </w:tc>
        <w:tc>
          <w:tcPr>
            <w:tcW w:w="678"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918" w:type="dxa"/>
            <w:tcBorders/>
            <w:shd w:fill="auto" w:val="clear"/>
          </w:tcPr>
          <w:p>
            <w:pPr>
              <w:pStyle w:val="TableContents"/>
              <w:spacing w:before="0" w:after="0"/>
              <w:ind w:left="0" w:right="0" w:hanging="0"/>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3.1</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0">
              <w:r>
                <w:rPr>
                  <w:rStyle w:val="InternetLink"/>
                  <w:rFonts w:ascii="Times New Roman" w:hAnsi="Times New Roman"/>
                  <w:b w:val="false"/>
                  <w:i w:val="false"/>
                  <w:caps w:val="false"/>
                  <w:smallCaps w:val="false"/>
                  <w:sz w:val="20"/>
                  <w:u w:val="single"/>
                </w:rPr>
                <w:t>Amended and Restated Certificate of Incorporation.</w:t>
              </w:r>
            </w:hyperlink>
            <w:r>
              <w:rPr>
                <w:rFonts w:ascii="Times New Roman" w:hAnsi="Times New Roman"/>
                <w:b w:val="false"/>
                <w:i w:val="false"/>
                <w:caps w:val="false"/>
                <w:smallCaps w:val="false"/>
                <w:sz w:val="20"/>
              </w:rPr>
              <w:t xml:space="preserve"> </w:t>
            </w:r>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tcPr>
          <w:p>
            <w:pPr>
              <w:pStyle w:val="TableContents"/>
              <w:spacing w:before="0" w:after="0"/>
              <w:ind w:left="0" w:right="0" w:hanging="0"/>
              <w:rPr/>
            </w:pPr>
            <w:r>
              <w:rPr/>
              <w:t> </w:t>
            </w:r>
          </w:p>
        </w:tc>
        <w:tc>
          <w:tcPr>
            <w:tcW w:w="678"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918" w:type="dxa"/>
            <w:tcBorders/>
            <w:shd w:fill="auto" w:val="clear"/>
          </w:tcPr>
          <w:p>
            <w:pPr>
              <w:pStyle w:val="TableContents"/>
              <w:spacing w:before="0" w:after="0"/>
              <w:ind w:left="0" w:right="0" w:hanging="0"/>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3.2</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1">
              <w:r>
                <w:rPr>
                  <w:rStyle w:val="InternetLink"/>
                  <w:rFonts w:ascii="Times New Roman" w:hAnsi="Times New Roman"/>
                  <w:b w:val="false"/>
                  <w:i w:val="false"/>
                  <w:caps w:val="false"/>
                  <w:smallCaps w:val="false"/>
                  <w:sz w:val="20"/>
                  <w:u w:val="single"/>
                </w:rPr>
                <w:t>Amended and Restated Bylaws.</w:t>
              </w:r>
            </w:hyperlink>
            <w:r>
              <w:rPr>
                <w:rFonts w:ascii="Times New Roman" w:hAnsi="Times New Roman"/>
                <w:b w:val="false"/>
                <w:i w:val="false"/>
                <w:caps w:val="false"/>
                <w:smallCaps w:val="false"/>
                <w:sz w:val="20"/>
              </w:rPr>
              <w:t xml:space="preserve"> </w:t>
            </w:r>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tcPr>
          <w:p>
            <w:pPr>
              <w:pStyle w:val="TableContents"/>
              <w:spacing w:before="0" w:after="0"/>
              <w:ind w:left="0" w:right="0" w:hanging="0"/>
              <w:rPr/>
            </w:pPr>
            <w:r>
              <w:rPr/>
              <w:t> </w:t>
            </w:r>
          </w:p>
        </w:tc>
        <w:tc>
          <w:tcPr>
            <w:tcW w:w="678"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918" w:type="dxa"/>
            <w:tcBorders/>
            <w:shd w:fill="auto" w:val="clear"/>
          </w:tcPr>
          <w:p>
            <w:pPr>
              <w:pStyle w:val="TableContents"/>
              <w:spacing w:before="0" w:after="0"/>
              <w:ind w:left="0" w:right="0" w:hanging="0"/>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4.1</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Reference is made to Exhibits 3.1 through 3.2.</w:t>
            </w:r>
          </w:p>
        </w:tc>
        <w:tc>
          <w:tcPr>
            <w:tcW w:w="458"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tcPr>
          <w:p>
            <w:pPr>
              <w:pStyle w:val="TableContents"/>
              <w:spacing w:before="0" w:after="0"/>
              <w:ind w:left="0" w:right="0" w:hanging="0"/>
              <w:rPr/>
            </w:pPr>
            <w:r>
              <w:rPr/>
              <w:t> </w:t>
            </w:r>
          </w:p>
        </w:tc>
        <w:tc>
          <w:tcPr>
            <w:tcW w:w="678"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918" w:type="dxa"/>
            <w:tcBorders/>
            <w:shd w:fill="auto" w:val="clear"/>
          </w:tcPr>
          <w:p>
            <w:pPr>
              <w:pStyle w:val="TableContents"/>
              <w:spacing w:before="0" w:after="0"/>
              <w:ind w:left="0" w:right="0" w:hanging="0"/>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xml:space="preserve">   </w:t>
            </w:r>
            <w:r>
              <w:rPr>
                <w:rFonts w:ascii="Times New Roman" w:hAnsi="Times New Roman"/>
                <w:b w:val="false"/>
                <w:i w:val="false"/>
                <w:caps w:val="false"/>
                <w:smallCaps w:val="false"/>
                <w:sz w:val="20"/>
              </w:rPr>
              <w:t>4.2</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2">
              <w:r>
                <w:rPr>
                  <w:rStyle w:val="InternetLink"/>
                  <w:rFonts w:ascii="Times New Roman" w:hAnsi="Times New Roman"/>
                  <w:b w:val="false"/>
                  <w:i w:val="false"/>
                  <w:caps w:val="false"/>
                  <w:smallCaps w:val="false"/>
                  <w:sz w:val="20"/>
                  <w:u w:val="single"/>
                </w:rPr>
                <w:t>Form of Common Stock Certificate.</w:t>
              </w:r>
            </w:hyperlink>
            <w:r>
              <w:rPr>
                <w:rFonts w:ascii="Times New Roman" w:hAnsi="Times New Roman"/>
                <w:b w:val="false"/>
                <w:i w:val="false"/>
                <w:caps w:val="false"/>
                <w:smallCaps w:val="false"/>
                <w:sz w:val="20"/>
              </w:rPr>
              <w:t xml:space="preserve"> </w:t>
            </w:r>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r>
              <w:rPr/>
              <w:t> </w:t>
            </w:r>
          </w:p>
        </w:tc>
        <w:tc>
          <w:tcPr>
            <w:tcW w:w="458"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rPr/>
            </w:pPr>
            <w:r>
              <w:rPr/>
              <w:t> </w:t>
            </w:r>
          </w:p>
        </w:tc>
        <w:tc>
          <w:tcPr>
            <w:tcW w:w="918" w:type="dxa"/>
            <w:tcBorders/>
            <w:shd w:fill="auto" w:val="clear"/>
          </w:tcPr>
          <w:p>
            <w:pPr>
              <w:pStyle w:val="TableContents"/>
              <w:spacing w:before="0" w:after="0"/>
              <w:ind w:left="0" w:right="0" w:hanging="0"/>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xml:space="preserve">   </w:t>
            </w:r>
            <w:r>
              <w:rPr>
                <w:rFonts w:ascii="Times New Roman" w:hAnsi="Times New Roman"/>
                <w:b w:val="false"/>
                <w:i w:val="false"/>
                <w:caps w:val="false"/>
                <w:smallCaps w:val="false"/>
                <w:sz w:val="20"/>
              </w:rPr>
              <w:t>4.3</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w:anchor="tern-ex43_284.htm">
              <w:r>
                <w:rPr>
                  <w:rStyle w:val="InternetLink"/>
                  <w:rFonts w:ascii="Times New Roman" w:hAnsi="Times New Roman"/>
                  <w:b w:val="false"/>
                  <w:i w:val="false"/>
                  <w:caps w:val="false"/>
                  <w:smallCaps w:val="false"/>
                  <w:sz w:val="20"/>
                  <w:u w:val="single"/>
                </w:rPr>
                <w:t>Description of Securities</w:t>
              </w:r>
            </w:hyperlink>
          </w:p>
        </w:tc>
        <w:tc>
          <w:tcPr>
            <w:tcW w:w="458"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tcPr>
          <w:p>
            <w:pPr>
              <w:pStyle w:val="TableContents"/>
              <w:spacing w:before="0" w:after="0"/>
              <w:ind w:left="0" w:right="0" w:hanging="0"/>
              <w:rPr/>
            </w:pPr>
            <w:r>
              <w:rPr/>
              <w:t> </w:t>
            </w:r>
          </w:p>
        </w:tc>
        <w:tc>
          <w:tcPr>
            <w:tcW w:w="678"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918" w:type="dxa"/>
            <w:tcBorders/>
            <w:shd w:fill="auto" w:val="clear"/>
          </w:tcPr>
          <w:p>
            <w:pPr>
              <w:pStyle w:val="TableContents"/>
              <w:spacing w:before="0" w:after="0"/>
              <w:ind w:left="0" w:right="0" w:hanging="0"/>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3">
              <w:r>
                <w:rPr>
                  <w:rStyle w:val="InternetLink"/>
                  <w:rFonts w:ascii="Times New Roman" w:hAnsi="Times New Roman"/>
                  <w:b w:val="false"/>
                  <w:i w:val="false"/>
                  <w:caps w:val="false"/>
                  <w:smallCaps w:val="false"/>
                  <w:sz w:val="20"/>
                  <w:u w:val="single"/>
                </w:rPr>
                <w:t xml:space="preserve">Amended and Restated Investors’ Rights Agreement, dated December 29, 2020, by and among the Registrant and the investors listed therein. </w:t>
              </w:r>
            </w:hyperlink>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tcPr>
          <w:p>
            <w:pPr>
              <w:pStyle w:val="TableContents"/>
              <w:spacing w:before="0" w:after="0"/>
              <w:ind w:left="0" w:right="0" w:hanging="0"/>
              <w:rPr/>
            </w:pPr>
            <w:r>
              <w:rPr/>
              <w:t> </w:t>
            </w:r>
          </w:p>
        </w:tc>
        <w:tc>
          <w:tcPr>
            <w:tcW w:w="678"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10.2</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4">
              <w:r>
                <w:rPr>
                  <w:rStyle w:val="InternetLink"/>
                  <w:rFonts w:ascii="Times New Roman" w:hAnsi="Times New Roman"/>
                  <w:b w:val="false"/>
                  <w:i w:val="false"/>
                  <w:caps w:val="false"/>
                  <w:smallCaps w:val="false"/>
                  <w:sz w:val="20"/>
                  <w:u w:val="single"/>
                </w:rPr>
                <w:t xml:space="preserve">Lease, dated March  1, 2019, by and between the Registrant and DWF IV Century Plaza, LLC. </w:t>
              </w:r>
            </w:hyperlink>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10.3</w:t>
            </w:r>
          </w:p>
        </w:tc>
        <w:tc>
          <w:tcPr>
            <w:tcW w:w="60" w:type="dxa"/>
            <w:tcBorders/>
            <w:shd w:fill="auto" w:val="clear"/>
          </w:tcPr>
          <w:p>
            <w:pPr>
              <w:pStyle w:val="TableContents"/>
              <w:spacing w:before="0" w:after="20"/>
              <w:ind w:left="0" w:right="0" w:hanging="0"/>
              <w:rPr/>
            </w:pPr>
            <w:r>
              <w:rPr/>
              <w:t> </w:t>
            </w:r>
          </w:p>
        </w:tc>
        <w:tc>
          <w:tcPr>
            <w:tcW w:w="6791" w:type="dxa"/>
            <w:tcBorders/>
            <w:shd w:fill="auto" w:val="clear"/>
            <w:vAlign w:val="bottom"/>
          </w:tcPr>
          <w:p>
            <w:pPr>
              <w:pStyle w:val="TableContents"/>
              <w:spacing w:before="0" w:after="20"/>
              <w:ind w:left="0" w:right="0" w:hanging="0"/>
              <w:rPr/>
            </w:pPr>
            <w:hyperlink r:id="rId25">
              <w:r>
                <w:rPr>
                  <w:rStyle w:val="InternetLink"/>
                  <w:rFonts w:ascii="Times New Roman" w:hAnsi="Times New Roman"/>
                  <w:b w:val="false"/>
                  <w:i w:val="false"/>
                  <w:caps w:val="false"/>
                  <w:smallCaps w:val="false"/>
                  <w:sz w:val="20"/>
                  <w:u w:val="single"/>
                </w:rPr>
                <w:t xml:space="preserve">Lease, dated June 15, 2018, by and between the Registrant and Changning Raffles Shanghai. </w:t>
              </w:r>
            </w:hyperlink>
          </w:p>
        </w:tc>
        <w:tc>
          <w:tcPr>
            <w:tcW w:w="458" w:type="dxa"/>
            <w:tcBorders/>
            <w:shd w:fill="auto" w:val="clear"/>
            <w:vAlign w:val="center"/>
          </w:tcPr>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78" w:type="dxa"/>
            <w:tcBorders/>
            <w:shd w:fill="auto" w:val="clear"/>
            <w:vAlign w:val="center"/>
          </w:tcPr>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tc>
        <w:tc>
          <w:tcPr>
            <w:tcW w:w="918" w:type="dxa"/>
            <w:tcBorders/>
            <w:shd w:fill="auto" w:val="clear"/>
          </w:tcPr>
          <w:p>
            <w:pPr>
              <w:pStyle w:val="TableContents"/>
              <w:spacing w:before="0" w:after="2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10.4(a)#</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6">
              <w:r>
                <w:rPr>
                  <w:rStyle w:val="InternetLink"/>
                  <w:rFonts w:ascii="Times New Roman" w:hAnsi="Times New Roman"/>
                  <w:b w:val="false"/>
                  <w:i w:val="false"/>
                  <w:caps w:val="false"/>
                  <w:smallCaps w:val="false"/>
                  <w:sz w:val="20"/>
                  <w:u w:val="single"/>
                </w:rPr>
                <w:t xml:space="preserve">2017 Equity Incentive Plan, as amended. </w:t>
              </w:r>
            </w:hyperlink>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10.4(a)</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10.4(b)#</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7">
              <w:r>
                <w:rPr>
                  <w:rStyle w:val="InternetLink"/>
                  <w:rFonts w:ascii="Times New Roman" w:hAnsi="Times New Roman"/>
                  <w:b w:val="false"/>
                  <w:i w:val="false"/>
                  <w:caps w:val="false"/>
                  <w:smallCaps w:val="false"/>
                  <w:sz w:val="20"/>
                  <w:u w:val="single"/>
                </w:rPr>
                <w:t xml:space="preserve">Form of Stock Option Grant Notice and Stock Option Agreement under 2017 Equity Incentive Plan, as amended. </w:t>
              </w:r>
            </w:hyperlink>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10.4(b)</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10.4(c)#</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8">
              <w:r>
                <w:rPr>
                  <w:rStyle w:val="InternetLink"/>
                  <w:rFonts w:ascii="Times New Roman" w:hAnsi="Times New Roman"/>
                  <w:b w:val="false"/>
                  <w:i w:val="false"/>
                  <w:caps w:val="false"/>
                  <w:smallCaps w:val="false"/>
                  <w:sz w:val="20"/>
                  <w:u w:val="single"/>
                </w:rPr>
                <w:t xml:space="preserve">Form of Early Exercise Stock Option Grant Notice and Stock Option Agreement under 2017 Equity Incentive Plan, as amended. </w:t>
              </w:r>
            </w:hyperlink>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10.4(c)</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10.4(d)#</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29">
              <w:r>
                <w:rPr>
                  <w:rStyle w:val="InternetLink"/>
                  <w:rFonts w:ascii="Times New Roman" w:hAnsi="Times New Roman"/>
                  <w:b w:val="false"/>
                  <w:i w:val="false"/>
                  <w:caps w:val="false"/>
                  <w:smallCaps w:val="false"/>
                  <w:sz w:val="20"/>
                  <w:u w:val="single"/>
                </w:rPr>
                <w:t xml:space="preserve">Form of International Stock Option Grant Notice and Stock Option Agreement under 2017 Equity Incentive Plan, as amended. </w:t>
              </w:r>
            </w:hyperlink>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10.4(d)</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tcPr>
          <w:p>
            <w:pPr>
              <w:pStyle w:val="TableContents"/>
              <w:spacing w:before="0" w:after="0"/>
              <w:ind w:left="0" w:right="0" w:hanging="0"/>
              <w:rPr/>
            </w:pPr>
            <w:r>
              <w:rPr/>
              <w:t> </w:t>
            </w:r>
          </w:p>
        </w:tc>
        <w:tc>
          <w:tcPr>
            <w:tcW w:w="678"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918" w:type="dxa"/>
            <w:tcBorders/>
            <w:shd w:fill="auto" w:val="clear"/>
          </w:tcPr>
          <w:p>
            <w:pPr>
              <w:pStyle w:val="TableContents"/>
              <w:spacing w:before="0" w:after="0"/>
              <w:ind w:left="0" w:right="0" w:hanging="0"/>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10.5(a)#</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30">
              <w:r>
                <w:rPr>
                  <w:rStyle w:val="InternetLink"/>
                  <w:rFonts w:ascii="Times New Roman" w:hAnsi="Times New Roman"/>
                  <w:b w:val="false"/>
                  <w:i w:val="false"/>
                  <w:caps w:val="false"/>
                  <w:smallCaps w:val="false"/>
                  <w:sz w:val="20"/>
                  <w:u w:val="single"/>
                </w:rPr>
                <w:t>2021 Incentive Award Plan.</w:t>
              </w:r>
            </w:hyperlink>
            <w:r>
              <w:rPr>
                <w:rFonts w:ascii="Times New Roman" w:hAnsi="Times New Roman"/>
                <w:b w:val="false"/>
                <w:i w:val="false"/>
                <w:caps w:val="false"/>
                <w:smallCaps w:val="false"/>
                <w:sz w:val="20"/>
              </w:rPr>
              <w:t xml:space="preserve"> </w:t>
            </w:r>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S-8</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99.2(a)</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58"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918" w:type="dxa"/>
            <w:tcBorders/>
            <w:shd w:fill="auto" w:val="clear"/>
          </w:tcPr>
          <w:p>
            <w:pPr>
              <w:pStyle w:val="TableContents"/>
              <w:spacing w:before="0" w:after="0"/>
              <w:ind w:left="0" w:right="0" w:hanging="0"/>
              <w:jc w:val="center"/>
              <w:rPr/>
            </w:pPr>
            <w:r>
              <w:rPr/>
              <w:t> </w:t>
            </w:r>
          </w:p>
        </w:tc>
      </w:tr>
      <w:tr>
        <w:trPr/>
        <w:tc>
          <w:tcPr>
            <w:tcW w:w="695"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10.5(b)#</w:t>
            </w:r>
          </w:p>
        </w:tc>
        <w:tc>
          <w:tcPr>
            <w:tcW w:w="60" w:type="dxa"/>
            <w:tcBorders/>
            <w:shd w:fill="auto" w:val="clear"/>
          </w:tcPr>
          <w:p>
            <w:pPr>
              <w:pStyle w:val="TableContents"/>
              <w:spacing w:before="0" w:after="0"/>
              <w:ind w:left="0" w:right="0" w:hanging="0"/>
              <w:rPr/>
            </w:pPr>
            <w:r>
              <w:rPr/>
              <w:t> </w:t>
            </w:r>
          </w:p>
        </w:tc>
        <w:tc>
          <w:tcPr>
            <w:tcW w:w="6791" w:type="dxa"/>
            <w:tcBorders/>
            <w:shd w:fill="auto" w:val="clear"/>
            <w:vAlign w:val="bottom"/>
          </w:tcPr>
          <w:p>
            <w:pPr>
              <w:pStyle w:val="TableContents"/>
              <w:spacing w:before="0" w:after="0"/>
              <w:ind w:left="0" w:right="0" w:hanging="0"/>
              <w:rPr/>
            </w:pPr>
            <w:hyperlink r:id="rId31">
              <w:r>
                <w:rPr>
                  <w:rStyle w:val="InternetLink"/>
                  <w:rFonts w:ascii="Times New Roman" w:hAnsi="Times New Roman"/>
                  <w:b w:val="false"/>
                  <w:i w:val="false"/>
                  <w:caps w:val="false"/>
                  <w:smallCaps w:val="false"/>
                  <w:sz w:val="20"/>
                  <w:u w:val="single"/>
                </w:rPr>
                <w:t>Form of Stock Option Grant Notice and Stock Option Agreement under the 2021 Incentive Award Plan.</w:t>
              </w:r>
            </w:hyperlink>
            <w:r>
              <w:rPr>
                <w:rFonts w:ascii="Times New Roman" w:hAnsi="Times New Roman"/>
                <w:b w:val="false"/>
                <w:i w:val="false"/>
                <w:caps w:val="false"/>
                <w:smallCaps w:val="false"/>
                <w:sz w:val="20"/>
              </w:rPr>
              <w:t xml:space="preserve"> </w:t>
            </w:r>
          </w:p>
        </w:tc>
        <w:tc>
          <w:tcPr>
            <w:tcW w:w="45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78"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10.5(b)</w:t>
            </w:r>
          </w:p>
        </w:tc>
        <w:tc>
          <w:tcPr>
            <w:tcW w:w="918" w:type="dxa"/>
            <w:tcBorders/>
            <w:shd w:fill="auto" w:val="clear"/>
          </w:tcPr>
          <w:p>
            <w:pPr>
              <w:pStyle w:val="TableContents"/>
              <w:spacing w:before="0" w:after="0"/>
              <w:ind w:left="0" w:right="0" w:hanging="0"/>
              <w:jc w:val="center"/>
              <w:rPr/>
            </w:pPr>
            <w:r>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169</w:t>
      </w:r>
    </w:p>
    <w:p>
      <w:pPr>
        <w:pStyle w:val="HorizontalLine"/>
        <w:rPr/>
      </w:pPr>
      <w:r>
        <w:rPr/>
      </w:r>
    </w:p>
    <w:p>
      <w:pPr>
        <w:pStyle w:val="TextBody"/>
        <w:spacing w:before="0" w:after="0"/>
        <w:rPr/>
      </w:pPr>
      <w:r>
        <w:rPr/>
        <w:t> </w:t>
      </w:r>
    </w:p>
    <w:tbl>
      <w:tblPr>
        <w:tblW w:w="10205" w:type="dxa"/>
        <w:jc w:val="center"/>
        <w:tblInd w:w="0" w:type="dxa"/>
        <w:tblCellMar>
          <w:top w:w="0" w:type="dxa"/>
          <w:left w:w="0" w:type="dxa"/>
          <w:bottom w:w="0" w:type="dxa"/>
          <w:right w:w="0" w:type="dxa"/>
        </w:tblCellMar>
      </w:tblPr>
      <w:tblGrid>
        <w:gridCol w:w="659"/>
        <w:gridCol w:w="60"/>
        <w:gridCol w:w="7024"/>
        <w:gridCol w:w="444"/>
        <w:gridCol w:w="583"/>
        <w:gridCol w:w="605"/>
        <w:gridCol w:w="830"/>
      </w:tblGrid>
      <w:tr>
        <w:trPr/>
        <w:tc>
          <w:tcPr>
            <w:tcW w:w="659"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7024" w:type="dxa"/>
            <w:tcBorders/>
            <w:shd w:fill="auto" w:val="clear"/>
            <w:vAlign w:val="bottom"/>
          </w:tcPr>
          <w:p>
            <w:pPr>
              <w:pStyle w:val="TableContents"/>
              <w:spacing w:before="0" w:after="0"/>
              <w:ind w:left="0" w:right="0" w:hanging="0"/>
              <w:jc w:val="center"/>
              <w:rPr/>
            </w:pPr>
            <w:r>
              <w:rPr/>
              <w:t> </w:t>
            </w:r>
          </w:p>
        </w:tc>
        <w:tc>
          <w:tcPr>
            <w:tcW w:w="1632" w:type="dxa"/>
            <w:gridSpan w:val="3"/>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w:t>
            </w:r>
          </w:p>
        </w:tc>
        <w:tc>
          <w:tcPr>
            <w:tcW w:w="83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r>
      <w:tr>
        <w:trPr/>
        <w:tc>
          <w:tcPr>
            <w:tcW w:w="659"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Number</w:t>
            </w:r>
          </w:p>
        </w:tc>
        <w:tc>
          <w:tcPr>
            <w:tcW w:w="60" w:type="dxa"/>
            <w:tcBorders/>
            <w:shd w:fill="auto" w:val="clear"/>
          </w:tcPr>
          <w:p>
            <w:pPr>
              <w:pStyle w:val="TableContents"/>
              <w:spacing w:before="0" w:after="0"/>
              <w:ind w:left="0" w:right="0" w:hanging="0"/>
              <w:jc w:val="center"/>
              <w:rPr/>
            </w:pPr>
            <w:r>
              <w:rPr/>
              <w:t> </w:t>
            </w:r>
          </w:p>
        </w:tc>
        <w:tc>
          <w:tcPr>
            <w:tcW w:w="7024"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Exhibit Description</w:t>
            </w:r>
          </w:p>
        </w:tc>
        <w:tc>
          <w:tcPr>
            <w:tcW w:w="444"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Form</w:t>
            </w:r>
          </w:p>
        </w:tc>
        <w:tc>
          <w:tcPr>
            <w:tcW w:w="583"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Date</w:t>
            </w:r>
          </w:p>
        </w:tc>
        <w:tc>
          <w:tcPr>
            <w:tcW w:w="605"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Number</w:t>
            </w:r>
          </w:p>
        </w:tc>
        <w:tc>
          <w:tcPr>
            <w:tcW w:w="830"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Filed Herewith</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10.5(c)#</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32">
              <w:r>
                <w:rPr>
                  <w:rStyle w:val="InternetLink"/>
                  <w:rFonts w:ascii="Times New Roman" w:hAnsi="Times New Roman"/>
                  <w:b w:val="false"/>
                  <w:i w:val="false"/>
                  <w:caps w:val="false"/>
                  <w:smallCaps w:val="false"/>
                  <w:sz w:val="20"/>
                  <w:u w:val="single"/>
                </w:rPr>
                <w:t>Form of Restricted Stock Award Grant Notice and Restricted Stock Award Agreement under the 2021 Incentive Award Plan.</w:t>
              </w:r>
            </w:hyperlink>
            <w:r>
              <w:rPr>
                <w:rFonts w:ascii="Times New Roman" w:hAnsi="Times New Roman"/>
                <w:b w:val="false"/>
                <w:i w:val="false"/>
                <w:caps w:val="false"/>
                <w:smallCaps w:val="false"/>
                <w:sz w:val="20"/>
              </w:rPr>
              <w:t xml:space="preserve"> </w:t>
            </w:r>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10.5(c)</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10.5(d)#</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33">
              <w:r>
                <w:rPr>
                  <w:rStyle w:val="InternetLink"/>
                  <w:rFonts w:ascii="Times New Roman" w:hAnsi="Times New Roman"/>
                  <w:b w:val="false"/>
                  <w:i w:val="false"/>
                  <w:caps w:val="false"/>
                  <w:smallCaps w:val="false"/>
                  <w:sz w:val="20"/>
                  <w:u w:val="single"/>
                </w:rPr>
                <w:t>Form of Restricted Stock Unit Award Grant Notice and Restricted Stock Unit Award Agreement under the 2021 Incentive Award Plan.</w:t>
              </w:r>
            </w:hyperlink>
            <w:r>
              <w:rPr>
                <w:rFonts w:ascii="Times New Roman" w:hAnsi="Times New Roman"/>
                <w:b w:val="false"/>
                <w:i w:val="false"/>
                <w:caps w:val="false"/>
                <w:smallCaps w:val="false"/>
                <w:sz w:val="20"/>
              </w:rPr>
              <w:t xml:space="preserve"> </w:t>
            </w:r>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10.5(d)</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10.6#</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34">
              <w:r>
                <w:rPr>
                  <w:rStyle w:val="InternetLink"/>
                  <w:rFonts w:ascii="Times New Roman" w:hAnsi="Times New Roman"/>
                  <w:b w:val="false"/>
                  <w:i w:val="false"/>
                  <w:caps w:val="false"/>
                  <w:smallCaps w:val="false"/>
                  <w:sz w:val="20"/>
                  <w:u w:val="single"/>
                </w:rPr>
                <w:t>2021 Employee Stock Purchase Plan.</w:t>
              </w:r>
            </w:hyperlink>
            <w:r>
              <w:rPr>
                <w:rFonts w:ascii="Times New Roman" w:hAnsi="Times New Roman"/>
                <w:b w:val="false"/>
                <w:i w:val="false"/>
                <w:caps w:val="false"/>
                <w:smallCaps w:val="false"/>
                <w:sz w:val="20"/>
              </w:rPr>
              <w:t xml:space="preserve"> </w:t>
            </w:r>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S-8</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99.3</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10.7#</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35">
              <w:r>
                <w:rPr>
                  <w:rStyle w:val="InternetLink"/>
                  <w:rFonts w:ascii="Times New Roman" w:hAnsi="Times New Roman"/>
                  <w:b w:val="false"/>
                  <w:i w:val="false"/>
                  <w:caps w:val="false"/>
                  <w:smallCaps w:val="false"/>
                  <w:sz w:val="20"/>
                  <w:u w:val="single"/>
                </w:rPr>
                <w:t>Employment Agreement by and between the Registrant and Erin Quirk, M.D.</w:t>
              </w:r>
            </w:hyperlink>
            <w:r>
              <w:rPr>
                <w:rFonts w:ascii="Times New Roman" w:hAnsi="Times New Roman"/>
                <w:b w:val="false"/>
                <w:i w:val="false"/>
                <w:caps w:val="false"/>
                <w:smallCaps w:val="false"/>
                <w:sz w:val="20"/>
              </w:rPr>
              <w:t xml:space="preserve"> </w:t>
            </w:r>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10.8#</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36">
              <w:r>
                <w:rPr>
                  <w:rStyle w:val="InternetLink"/>
                  <w:rFonts w:ascii="Times New Roman" w:hAnsi="Times New Roman"/>
                  <w:b w:val="false"/>
                  <w:i w:val="false"/>
                  <w:caps w:val="false"/>
                  <w:smallCaps w:val="false"/>
                  <w:sz w:val="20"/>
                  <w:u w:val="single"/>
                </w:rPr>
                <w:t>Employment Agreement by and between the Registrant and Senthil Sundaram.</w:t>
              </w:r>
            </w:hyperlink>
            <w:r>
              <w:rPr>
                <w:rFonts w:ascii="Times New Roman" w:hAnsi="Times New Roman"/>
                <w:b w:val="false"/>
                <w:i w:val="false"/>
                <w:caps w:val="false"/>
                <w:smallCaps w:val="false"/>
                <w:sz w:val="20"/>
              </w:rPr>
              <w:t xml:space="preserve"> </w:t>
            </w:r>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10.8</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10.9#</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37">
              <w:r>
                <w:rPr>
                  <w:rStyle w:val="InternetLink"/>
                  <w:rFonts w:ascii="Times New Roman" w:hAnsi="Times New Roman"/>
                  <w:b w:val="false"/>
                  <w:i w:val="false"/>
                  <w:caps w:val="false"/>
                  <w:smallCaps w:val="false"/>
                  <w:sz w:val="20"/>
                  <w:u w:val="single"/>
                </w:rPr>
                <w:t>Employment Agreement by and between the Registrant and Mark Vignola, Ph.D.</w:t>
              </w:r>
            </w:hyperlink>
            <w:r>
              <w:rPr>
                <w:rFonts w:ascii="Times New Roman" w:hAnsi="Times New Roman"/>
                <w:b w:val="false"/>
                <w:i w:val="false"/>
                <w:caps w:val="false"/>
                <w:smallCaps w:val="false"/>
                <w:sz w:val="20"/>
              </w:rPr>
              <w:t xml:space="preserve"> </w:t>
            </w:r>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10.9</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10.10#</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38">
              <w:r>
                <w:rPr>
                  <w:rStyle w:val="InternetLink"/>
                  <w:rFonts w:ascii="Times New Roman" w:hAnsi="Times New Roman"/>
                  <w:b w:val="false"/>
                  <w:i w:val="false"/>
                  <w:caps w:val="false"/>
                  <w:smallCaps w:val="false"/>
                  <w:sz w:val="20"/>
                  <w:u w:val="single"/>
                </w:rPr>
                <w:t>Non-Employee Director Compensation Program.</w:t>
              </w:r>
            </w:hyperlink>
            <w:r>
              <w:rPr>
                <w:rFonts w:ascii="Times New Roman" w:hAnsi="Times New Roman"/>
                <w:b w:val="false"/>
                <w:i w:val="false"/>
                <w:caps w:val="false"/>
                <w:smallCaps w:val="false"/>
                <w:sz w:val="20"/>
              </w:rPr>
              <w:t xml:space="preserve"> </w:t>
            </w:r>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10.10</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10.11</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39">
              <w:r>
                <w:rPr>
                  <w:rStyle w:val="InternetLink"/>
                  <w:rFonts w:ascii="Times New Roman" w:hAnsi="Times New Roman"/>
                  <w:b w:val="false"/>
                  <w:i w:val="false"/>
                  <w:caps w:val="false"/>
                  <w:smallCaps w:val="false"/>
                  <w:sz w:val="20"/>
                  <w:u w:val="single"/>
                </w:rPr>
                <w:t>Form of Indemnification Agreement for directors and officers.</w:t>
              </w:r>
            </w:hyperlink>
            <w:r>
              <w:rPr>
                <w:rFonts w:ascii="Times New Roman" w:hAnsi="Times New Roman"/>
                <w:b w:val="false"/>
                <w:i w:val="false"/>
                <w:caps w:val="false"/>
                <w:smallCaps w:val="false"/>
                <w:sz w:val="20"/>
              </w:rPr>
              <w:t xml:space="preserve"> </w:t>
            </w:r>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10.11</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830" w:type="dxa"/>
            <w:tcBorders/>
            <w:shd w:fill="auto" w:val="clear"/>
          </w:tcPr>
          <w:p>
            <w:pPr>
              <w:pStyle w:val="TableContents"/>
              <w:spacing w:before="0" w:after="0"/>
              <w:ind w:left="0" w:right="0" w:hanging="0"/>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10.12†</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40">
              <w:r>
                <w:rPr>
                  <w:rStyle w:val="InternetLink"/>
                  <w:rFonts w:ascii="Times New Roman" w:hAnsi="Times New Roman"/>
                  <w:b w:val="false"/>
                  <w:i w:val="false"/>
                  <w:caps w:val="false"/>
                  <w:smallCaps w:val="false"/>
                  <w:sz w:val="20"/>
                  <w:u w:val="single"/>
                </w:rPr>
                <w:t>Exclusive License Agreement, dated as of February 9, 2018, between Terns Pharmaceuticals, Inc. and Eli Lilly and Company. </w:t>
              </w:r>
            </w:hyperlink>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10.13</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10.13†</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41">
              <w:r>
                <w:rPr>
                  <w:rStyle w:val="InternetLink"/>
                  <w:rFonts w:ascii="Times New Roman" w:hAnsi="Times New Roman"/>
                  <w:b w:val="false"/>
                  <w:i w:val="false"/>
                  <w:caps w:val="false"/>
                  <w:smallCaps w:val="false"/>
                  <w:sz w:val="20"/>
                  <w:u w:val="single"/>
                </w:rPr>
                <w:t xml:space="preserve">Exclusive License Agreement, dated as of March 9, 2018, between Terns Pharmaceuticals, Inc. and Eli Lilly and Company. </w:t>
              </w:r>
            </w:hyperlink>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10.14</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10.14†</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42">
              <w:r>
                <w:rPr>
                  <w:rStyle w:val="InternetLink"/>
                  <w:rFonts w:ascii="Times New Roman" w:hAnsi="Times New Roman"/>
                  <w:b w:val="false"/>
                  <w:i w:val="false"/>
                  <w:caps w:val="false"/>
                  <w:smallCaps w:val="false"/>
                  <w:sz w:val="20"/>
                  <w:u w:val="single"/>
                </w:rPr>
                <w:t xml:space="preserve">Assignment Agreement, dated as of June 24, 2019, by and among Terns Pharmaceuticals, Inc. and Vintagence Biotechnology Ltd. </w:t>
              </w:r>
            </w:hyperlink>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10.15</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10.15†</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43">
              <w:r>
                <w:rPr>
                  <w:rStyle w:val="InternetLink"/>
                  <w:rFonts w:ascii="Times New Roman" w:hAnsi="Times New Roman"/>
                  <w:b w:val="false"/>
                  <w:i w:val="false"/>
                  <w:caps w:val="false"/>
                  <w:smallCaps w:val="false"/>
                  <w:sz w:val="20"/>
                  <w:u w:val="single"/>
                </w:rPr>
                <w:t>Exclusive Option and License, dated as of July 27, 2020, by and among Terns Pharmaceuticals, Inc., Terns, Inc., CaspianTern LLC, Hansoh (Shanghai) Healthtech Co., Ltd. and Jiangsu Hansoh Pharmaceutical Group Company Ltd.</w:t>
              </w:r>
            </w:hyperlink>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10.16</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r>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21.1</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r:id="rId44">
              <w:r>
                <w:rPr>
                  <w:rStyle w:val="InternetLink"/>
                  <w:rFonts w:ascii="Times New Roman" w:hAnsi="Times New Roman"/>
                  <w:b w:val="false"/>
                  <w:i w:val="false"/>
                  <w:caps w:val="false"/>
                  <w:smallCaps w:val="false"/>
                  <w:sz w:val="20"/>
                  <w:u w:val="single"/>
                </w:rPr>
                <w:t xml:space="preserve">List of subsidiaries. </w:t>
              </w:r>
            </w:hyperlink>
          </w:p>
        </w:tc>
        <w:tc>
          <w:tcPr>
            <w:tcW w:w="444"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583"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1/15/2021</w:t>
            </w:r>
          </w:p>
        </w:tc>
        <w:tc>
          <w:tcPr>
            <w:tcW w:w="605"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21.1</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r>
              <w:rPr/>
              <w:t> </w:t>
            </w:r>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tcPr>
          <w:p>
            <w:pPr>
              <w:pStyle w:val="TableContents"/>
              <w:spacing w:before="0" w:after="0"/>
              <w:ind w:left="0" w:right="0" w:hanging="0"/>
              <w:jc w:val="center"/>
              <w:rPr/>
            </w:pPr>
            <w:r>
              <w:rPr/>
              <w:t> </w:t>
            </w:r>
          </w:p>
        </w:tc>
      </w:tr>
      <w:tr>
        <w:trPr/>
        <w:tc>
          <w:tcPr>
            <w:tcW w:w="659"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23.1</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w:anchor="tern-ex231_285.htm">
              <w:r>
                <w:rPr>
                  <w:rStyle w:val="InternetLink"/>
                  <w:rFonts w:ascii="Times New Roman" w:hAnsi="Times New Roman"/>
                  <w:b w:val="false"/>
                  <w:i w:val="false"/>
                  <w:caps w:val="false"/>
                  <w:smallCaps w:val="false"/>
                  <w:sz w:val="20"/>
                  <w:u w:val="single"/>
                </w:rPr>
                <w:t>Consent of Ernst &amp; Young LLP, independent registered public accounting firm.</w:t>
              </w:r>
            </w:hyperlink>
          </w:p>
        </w:tc>
        <w:tc>
          <w:tcPr>
            <w:tcW w:w="444" w:type="dxa"/>
            <w:tcBorders/>
            <w:shd w:fill="auto" w:val="clear"/>
            <w:vAlign w:val="center"/>
          </w:tcPr>
          <w:p>
            <w:pPr>
              <w:pStyle w:val="TableContents"/>
              <w:spacing w:before="0" w:after="0"/>
              <w:ind w:left="0" w:right="0" w:hanging="0"/>
              <w:jc w:val="center"/>
              <w:rPr/>
            </w:pPr>
            <w:r>
              <w:rPr/>
              <w:t> </w:t>
            </w:r>
          </w:p>
        </w:tc>
        <w:tc>
          <w:tcPr>
            <w:tcW w:w="583" w:type="dxa"/>
            <w:tcBorders/>
            <w:shd w:fill="auto" w:val="clear"/>
            <w:vAlign w:val="center"/>
          </w:tcPr>
          <w:p>
            <w:pPr>
              <w:pStyle w:val="TableContents"/>
              <w:spacing w:before="0" w:after="0"/>
              <w:ind w:left="0" w:right="0" w:hanging="0"/>
              <w:jc w:val="center"/>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830" w:type="dxa"/>
            <w:tcBorders/>
            <w:shd w:fill="auto" w:val="clear"/>
          </w:tcPr>
          <w:p>
            <w:pPr>
              <w:pStyle w:val="TableContents"/>
              <w:spacing w:before="0" w:after="0"/>
              <w:ind w:left="0" w:right="0" w:hanging="0"/>
              <w:rPr/>
            </w:pPr>
            <w:r>
              <w:rPr/>
              <w:t> </w:t>
            </w:r>
          </w:p>
        </w:tc>
      </w:tr>
      <w:tr>
        <w:trPr/>
        <w:tc>
          <w:tcPr>
            <w:tcW w:w="659" w:type="dxa"/>
            <w:tcBorders/>
            <w:shd w:fill="auto" w:val="cle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24.1</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hyperlink w:anchor="POWER_ATTORNEY">
              <w:r>
                <w:rPr>
                  <w:rStyle w:val="InternetLink"/>
                  <w:rFonts w:ascii="Times New Roman" w:hAnsi="Times New Roman"/>
                  <w:b w:val="false"/>
                  <w:i w:val="false"/>
                  <w:caps w:val="false"/>
                  <w:smallCaps w:val="false"/>
                  <w:sz w:val="20"/>
                  <w:u w:val="single"/>
                </w:rPr>
                <w:t>Power of Attorney. Reference is made to the signature page hereto.</w:t>
              </w:r>
            </w:hyperlink>
            <w:r>
              <w:rPr>
                <w:rFonts w:ascii="Times New Roman" w:hAnsi="Times New Roman"/>
                <w:b w:val="false"/>
                <w:i w:val="false"/>
                <w:caps w:val="false"/>
                <w:smallCaps w:val="false"/>
                <w:sz w:val="20"/>
              </w:rPr>
              <w:t xml:space="preserve"> </w:t>
            </w:r>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830"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r>
              <w:rPr/>
              <w:t> </w:t>
            </w:r>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830" w:type="dxa"/>
            <w:tcBorders/>
            <w:shd w:fill="auto" w:val="clear"/>
          </w:tcPr>
          <w:p>
            <w:pPr>
              <w:pStyle w:val="TableContents"/>
              <w:spacing w:before="0" w:after="0"/>
              <w:ind w:left="0" w:right="0" w:hanging="0"/>
              <w:rPr/>
            </w:pPr>
            <w:r>
              <w:rPr/>
              <w:t> </w:t>
            </w:r>
          </w:p>
        </w:tc>
      </w:tr>
      <w:tr>
        <w:trPr/>
        <w:tc>
          <w:tcPr>
            <w:tcW w:w="659" w:type="dxa"/>
            <w:tcBorders/>
            <w:shd w:fill="auto"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31.1</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7024" w:type="dxa"/>
            <w:tcBorders/>
            <w:shd w:fill="auto" w:val="clear"/>
          </w:tcPr>
          <w:p>
            <w:pPr>
              <w:pStyle w:val="TableContents"/>
              <w:spacing w:before="0" w:after="0"/>
              <w:ind w:left="0" w:right="0" w:hanging="0"/>
              <w:rPr/>
            </w:pPr>
            <w:hyperlink w:anchor="tern-ex311_9.htm">
              <w:r>
                <w:rPr>
                  <w:rStyle w:val="InternetLink"/>
                  <w:rFonts w:ascii="Times New Roman" w:hAnsi="Times New Roman"/>
                  <w:b w:val="false"/>
                  <w:i w:val="false"/>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830"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tcPr>
          <w:p>
            <w:pPr>
              <w:pStyle w:val="TableContents"/>
              <w:spacing w:before="0" w:after="0"/>
              <w:ind w:left="0" w:right="0" w:hanging="0"/>
              <w:rPr/>
            </w:pPr>
            <w:r>
              <w:rPr/>
              <w:t> </w:t>
            </w:r>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830" w:type="dxa"/>
            <w:tcBorders/>
            <w:shd w:fill="auto" w:val="clear"/>
          </w:tcPr>
          <w:p>
            <w:pPr>
              <w:pStyle w:val="TableContents"/>
              <w:spacing w:before="0" w:after="0"/>
              <w:ind w:left="0" w:right="0" w:hanging="0"/>
              <w:rPr/>
            </w:pPr>
            <w:r>
              <w:rPr/>
              <w:t> </w:t>
            </w:r>
          </w:p>
        </w:tc>
      </w:tr>
      <w:tr>
        <w:trPr/>
        <w:tc>
          <w:tcPr>
            <w:tcW w:w="659" w:type="dxa"/>
            <w:tcBorders/>
            <w:shd w:fill="auto"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31.2</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7024" w:type="dxa"/>
            <w:tcBorders/>
            <w:shd w:fill="auto" w:val="clear"/>
          </w:tcPr>
          <w:p>
            <w:pPr>
              <w:pStyle w:val="TableContents"/>
              <w:spacing w:before="0" w:after="0"/>
              <w:ind w:left="0" w:right="0" w:hanging="0"/>
              <w:rPr/>
            </w:pPr>
            <w:hyperlink w:anchor="tern-ex312_7.htm">
              <w:r>
                <w:rPr>
                  <w:rStyle w:val="InternetLink"/>
                  <w:rFonts w:ascii="Times New Roman" w:hAnsi="Times New Roman"/>
                  <w:b w:val="false"/>
                  <w:i w:val="false"/>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830"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7024" w:type="dxa"/>
            <w:tcBorders/>
            <w:shd w:fill="auto" w:val="clear"/>
            <w:vAlign w:val="bottom"/>
          </w:tcPr>
          <w:p>
            <w:pPr>
              <w:pStyle w:val="TableContents"/>
              <w:spacing w:before="0" w:after="0"/>
              <w:ind w:left="0" w:right="0" w:hanging="0"/>
              <w:rPr/>
            </w:pPr>
            <w:r>
              <w:rPr/>
              <w:t> </w:t>
            </w:r>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830" w:type="dxa"/>
            <w:tcBorders/>
            <w:shd w:fill="auto" w:val="clear"/>
          </w:tcPr>
          <w:p>
            <w:pPr>
              <w:pStyle w:val="TableContents"/>
              <w:spacing w:before="0" w:after="0"/>
              <w:ind w:left="0" w:right="0" w:hanging="0"/>
              <w:rPr/>
            </w:pPr>
            <w:r>
              <w:rPr/>
              <w:t> </w:t>
            </w:r>
          </w:p>
        </w:tc>
      </w:tr>
      <w:tr>
        <w:trPr/>
        <w:tc>
          <w:tcPr>
            <w:tcW w:w="659" w:type="dxa"/>
            <w:tcBorders/>
            <w:shd w:fill="auto"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32.1^</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7024" w:type="dxa"/>
            <w:tcBorders/>
            <w:shd w:fill="auto" w:val="clear"/>
          </w:tcPr>
          <w:p>
            <w:pPr>
              <w:pStyle w:val="TableContents"/>
              <w:spacing w:before="0" w:after="0"/>
              <w:ind w:left="0" w:right="0" w:hanging="0"/>
              <w:rPr/>
            </w:pPr>
            <w:hyperlink w:anchor="tern-ex321_6.htm">
              <w:r>
                <w:rPr>
                  <w:rStyle w:val="InternetLink"/>
                  <w:rFonts w:ascii="Times New Roman" w:hAnsi="Times New Roman"/>
                  <w:b w:val="false"/>
                  <w:i w:val="false"/>
                  <w:caps w:val="false"/>
                  <w:smallCaps w:val="false"/>
                  <w:sz w:val="20"/>
                  <w:u w:val="single"/>
                </w:rPr>
                <w:t>Certification of Principal Executive Officer Pursuant to 18 U.S.C. Section 1350, as Adopted Pursuant to Section 906 of the Sarbanes-Oxley Act of 2002.</w:t>
              </w:r>
            </w:hyperlink>
          </w:p>
        </w:tc>
        <w:tc>
          <w:tcPr>
            <w:tcW w:w="444" w:type="dxa"/>
            <w:tcBorders/>
            <w:shd w:fill="auto" w:val="clear"/>
          </w:tcPr>
          <w:p>
            <w:pPr>
              <w:pStyle w:val="TableContents"/>
              <w:spacing w:before="0" w:after="0"/>
              <w:ind w:left="0" w:right="0" w:hanging="0"/>
              <w:rPr/>
            </w:pPr>
            <w:r>
              <w:rPr/>
              <w:t> </w:t>
            </w:r>
          </w:p>
        </w:tc>
        <w:tc>
          <w:tcPr>
            <w:tcW w:w="583" w:type="dxa"/>
            <w:tcBorders/>
            <w:shd w:fill="auto" w:val="clear"/>
          </w:tcPr>
          <w:p>
            <w:pPr>
              <w:pStyle w:val="TableContents"/>
              <w:spacing w:before="0" w:after="0"/>
              <w:ind w:left="0" w:right="0" w:hanging="0"/>
              <w:rPr/>
            </w:pPr>
            <w:r>
              <w:rPr/>
              <w:t> </w:t>
            </w:r>
          </w:p>
        </w:tc>
        <w:tc>
          <w:tcPr>
            <w:tcW w:w="605" w:type="dxa"/>
            <w:tcBorders/>
            <w:shd w:fill="auto" w:val="clear"/>
          </w:tcPr>
          <w:p>
            <w:pPr>
              <w:pStyle w:val="TableContents"/>
              <w:spacing w:before="0" w:after="0"/>
              <w:ind w:left="0" w:right="0" w:hanging="0"/>
              <w:rPr/>
            </w:pPr>
            <w:r>
              <w:rPr/>
              <w:t> </w:t>
            </w:r>
          </w:p>
        </w:tc>
        <w:tc>
          <w:tcPr>
            <w:tcW w:w="830"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w:t>
      </w:r>
    </w:p>
    <w:p>
      <w:pPr>
        <w:pStyle w:val="HorizontalLine"/>
        <w:rPr/>
      </w:pPr>
      <w:r>
        <w:rPr/>
      </w:r>
    </w:p>
    <w:p>
      <w:pPr>
        <w:pStyle w:val="TextBody"/>
        <w:spacing w:before="0" w:after="0"/>
        <w:rPr/>
      </w:pPr>
      <w:r>
        <w:rPr/>
        <w:t> </w:t>
      </w:r>
    </w:p>
    <w:tbl>
      <w:tblPr>
        <w:tblW w:w="10205" w:type="dxa"/>
        <w:jc w:val="center"/>
        <w:tblInd w:w="0" w:type="dxa"/>
        <w:tblCellMar>
          <w:top w:w="0" w:type="dxa"/>
          <w:left w:w="0" w:type="dxa"/>
          <w:bottom w:w="0" w:type="dxa"/>
          <w:right w:w="0" w:type="dxa"/>
        </w:tblCellMar>
      </w:tblPr>
      <w:tblGrid>
        <w:gridCol w:w="605"/>
        <w:gridCol w:w="60"/>
        <w:gridCol w:w="6943"/>
        <w:gridCol w:w="515"/>
        <w:gridCol w:w="442"/>
        <w:gridCol w:w="733"/>
        <w:gridCol w:w="907"/>
      </w:tblGrid>
      <w:tr>
        <w:trPr/>
        <w:tc>
          <w:tcPr>
            <w:tcW w:w="605"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943" w:type="dxa"/>
            <w:tcBorders/>
            <w:shd w:fill="auto" w:val="clear"/>
            <w:vAlign w:val="bottom"/>
          </w:tcPr>
          <w:p>
            <w:pPr>
              <w:pStyle w:val="TableContents"/>
              <w:spacing w:before="0" w:after="0"/>
              <w:ind w:left="0" w:right="0" w:hanging="0"/>
              <w:jc w:val="center"/>
              <w:rPr/>
            </w:pPr>
            <w:r>
              <w:rPr/>
              <w:t> </w:t>
            </w:r>
          </w:p>
        </w:tc>
        <w:tc>
          <w:tcPr>
            <w:tcW w:w="1690" w:type="dxa"/>
            <w:gridSpan w:val="3"/>
            <w:tcBorders>
              <w:bottom w:val="single" w:sz="6" w:space="0" w:color="000000"/>
            </w:tcBorders>
            <w:shd w:fill="auto" w:val="clear"/>
            <w:tcMar>
              <w:bottom w:w="28" w:type="dxa"/>
            </w:tcM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 by Reference</w:t>
            </w:r>
          </w:p>
        </w:tc>
        <w:tc>
          <w:tcPr>
            <w:tcW w:w="907"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r>
      <w:tr>
        <w:trPr/>
        <w:tc>
          <w:tcPr>
            <w:tcW w:w="60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Number</w:t>
            </w:r>
          </w:p>
        </w:tc>
        <w:tc>
          <w:tcPr>
            <w:tcW w:w="60" w:type="dxa"/>
            <w:tcBorders/>
            <w:shd w:fill="auto" w:val="clear"/>
          </w:tcPr>
          <w:p>
            <w:pPr>
              <w:pStyle w:val="TableContents"/>
              <w:spacing w:before="0" w:after="0"/>
              <w:ind w:left="0" w:right="0" w:hanging="0"/>
              <w:jc w:val="center"/>
              <w:rPr/>
            </w:pPr>
            <w:r>
              <w:rPr/>
              <w:t> </w:t>
            </w:r>
          </w:p>
        </w:tc>
        <w:tc>
          <w:tcPr>
            <w:tcW w:w="6943"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Exhibit Description</w:t>
            </w:r>
          </w:p>
        </w:tc>
        <w:tc>
          <w:tcPr>
            <w:tcW w:w="515"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Form</w:t>
            </w:r>
          </w:p>
        </w:tc>
        <w:tc>
          <w:tcPr>
            <w:tcW w:w="442"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Date</w:t>
            </w:r>
          </w:p>
        </w:tc>
        <w:tc>
          <w:tcPr>
            <w:tcW w:w="733"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Number</w:t>
            </w:r>
          </w:p>
        </w:tc>
        <w:tc>
          <w:tcPr>
            <w:tcW w:w="907"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sz w:val="16"/>
                <w:u w:val="single"/>
              </w:rPr>
            </w:pPr>
            <w:r>
              <w:rPr>
                <w:rFonts w:ascii="Times New Roman" w:hAnsi="Times New Roman"/>
                <w:b/>
                <w:i w:val="false"/>
                <w:caps w:val="false"/>
                <w:smallCaps w:val="false"/>
                <w:sz w:val="16"/>
                <w:u w:val="single"/>
              </w:rPr>
              <w:t>Filed Herewith</w:t>
            </w:r>
          </w:p>
        </w:tc>
      </w:tr>
      <w:tr>
        <w:trPr/>
        <w:tc>
          <w:tcPr>
            <w:tcW w:w="60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94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42" w:type="dxa"/>
            <w:tcBorders/>
            <w:shd w:fill="auto" w:val="clear"/>
          </w:tcPr>
          <w:p>
            <w:pPr>
              <w:pStyle w:val="TableContents"/>
              <w:spacing w:before="0" w:after="0"/>
              <w:ind w:left="0" w:right="0" w:hanging="0"/>
              <w:rPr/>
            </w:pPr>
            <w:r>
              <w:rPr/>
              <w:t> </w:t>
            </w:r>
          </w:p>
        </w:tc>
        <w:tc>
          <w:tcPr>
            <w:tcW w:w="733" w:type="dxa"/>
            <w:tcBorders/>
            <w:shd w:fill="auto" w:val="clear"/>
          </w:tcPr>
          <w:p>
            <w:pPr>
              <w:pStyle w:val="TableContents"/>
              <w:spacing w:before="0" w:after="0"/>
              <w:ind w:left="0" w:right="0" w:hanging="0"/>
              <w:rPr/>
            </w:pPr>
            <w:r>
              <w:rPr/>
              <w:t> </w:t>
            </w:r>
          </w:p>
        </w:tc>
        <w:tc>
          <w:tcPr>
            <w:tcW w:w="907" w:type="dxa"/>
            <w:tcBorders/>
            <w:shd w:fill="auto" w:val="clear"/>
            <w:vAlign w:val="center"/>
          </w:tcPr>
          <w:p>
            <w:pPr>
              <w:pStyle w:val="TableContents"/>
              <w:spacing w:before="0" w:after="0"/>
              <w:ind w:left="0" w:right="0" w:hanging="0"/>
              <w:jc w:val="center"/>
              <w:rPr/>
            </w:pPr>
            <w:r>
              <w:rPr/>
              <w:t> </w:t>
            </w:r>
          </w:p>
        </w:tc>
      </w:tr>
      <w:tr>
        <w:trPr/>
        <w:tc>
          <w:tcPr>
            <w:tcW w:w="605" w:type="dxa"/>
            <w:tcBorders/>
            <w:shd w:fill="auto"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32.2^</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43" w:type="dxa"/>
            <w:tcBorders/>
            <w:shd w:fill="auto" w:val="clear"/>
          </w:tcPr>
          <w:p>
            <w:pPr>
              <w:pStyle w:val="TableContents"/>
              <w:spacing w:before="0" w:after="0"/>
              <w:ind w:left="0" w:right="0" w:hanging="0"/>
              <w:rPr/>
            </w:pPr>
            <w:hyperlink w:anchor="tern-ex322_8.htm">
              <w:r>
                <w:rPr>
                  <w:rStyle w:val="InternetLink"/>
                  <w:rFonts w:ascii="Times New Roman" w:hAnsi="Times New Roman"/>
                  <w:b w:val="false"/>
                  <w:i w:val="false"/>
                  <w:caps w:val="false"/>
                  <w:smallCaps w:val="false"/>
                  <w:sz w:val="20"/>
                  <w:u w:val="single"/>
                </w:rPr>
                <w:t>Certification of Principal Financial Officer Pursuant to 18 U.S.C. Section 1350, as Adopted Pursuant to Section 906 of the Sarbanes-Oxley Act of 2002.</w:t>
              </w:r>
            </w:hyperlink>
          </w:p>
        </w:tc>
        <w:tc>
          <w:tcPr>
            <w:tcW w:w="515" w:type="dxa"/>
            <w:tcBorders/>
            <w:shd w:fill="auto" w:val="clear"/>
          </w:tcPr>
          <w:p>
            <w:pPr>
              <w:pStyle w:val="TableContents"/>
              <w:spacing w:before="0" w:after="0"/>
              <w:ind w:left="0" w:right="0" w:hanging="0"/>
              <w:rPr/>
            </w:pPr>
            <w:r>
              <w:rPr/>
              <w:t> </w:t>
            </w:r>
          </w:p>
        </w:tc>
        <w:tc>
          <w:tcPr>
            <w:tcW w:w="442" w:type="dxa"/>
            <w:tcBorders/>
            <w:shd w:fill="auto" w:val="clear"/>
          </w:tcPr>
          <w:p>
            <w:pPr>
              <w:pStyle w:val="TableContents"/>
              <w:spacing w:before="0" w:after="0"/>
              <w:ind w:left="0" w:right="0" w:hanging="0"/>
              <w:rPr/>
            </w:pPr>
            <w:r>
              <w:rPr/>
              <w:t> </w:t>
            </w:r>
          </w:p>
        </w:tc>
        <w:tc>
          <w:tcPr>
            <w:tcW w:w="733" w:type="dxa"/>
            <w:tcBorders/>
            <w:shd w:fill="auto" w:val="clear"/>
          </w:tcPr>
          <w:p>
            <w:pPr>
              <w:pStyle w:val="TableContents"/>
              <w:spacing w:before="0" w:after="0"/>
              <w:ind w:left="0" w:right="0" w:hanging="0"/>
              <w:rPr/>
            </w:pPr>
            <w:r>
              <w:rPr/>
              <w:t> </w:t>
            </w:r>
          </w:p>
        </w:tc>
        <w:tc>
          <w:tcPr>
            <w:tcW w:w="907" w:type="dxa"/>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0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943" w:type="dxa"/>
            <w:tcBorders/>
            <w:shd w:fill="auto" w:val="clear"/>
            <w:vAlign w:val="bottom"/>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42" w:type="dxa"/>
            <w:tcBorders/>
            <w:shd w:fill="auto" w:val="clear"/>
          </w:tcPr>
          <w:p>
            <w:pPr>
              <w:pStyle w:val="TableContents"/>
              <w:spacing w:before="0" w:after="0"/>
              <w:ind w:left="0" w:right="0" w:hanging="0"/>
              <w:rPr/>
            </w:pPr>
            <w:r>
              <w:rPr/>
              <w:t> </w:t>
            </w:r>
          </w:p>
        </w:tc>
        <w:tc>
          <w:tcPr>
            <w:tcW w:w="733" w:type="dxa"/>
            <w:tcBorders/>
            <w:shd w:fill="auto" w:val="clear"/>
          </w:tcPr>
          <w:p>
            <w:pPr>
              <w:pStyle w:val="TableContents"/>
              <w:spacing w:before="0" w:after="0"/>
              <w:ind w:left="0" w:right="0" w:hanging="0"/>
              <w:rPr/>
            </w:pPr>
            <w:r>
              <w:rPr/>
              <w:t> </w:t>
            </w:r>
          </w:p>
        </w:tc>
        <w:tc>
          <w:tcPr>
            <w:tcW w:w="907" w:type="dxa"/>
            <w:tcBorders/>
            <w:shd w:fill="auto" w:val="clear"/>
          </w:tcPr>
          <w:p>
            <w:pPr>
              <w:pStyle w:val="TableContents"/>
              <w:spacing w:before="0" w:after="0"/>
              <w:ind w:left="0" w:right="0" w:hanging="0"/>
              <w:rPr/>
            </w:pPr>
            <w:r>
              <w:rPr/>
              <w:t> </w:t>
            </w:r>
          </w:p>
        </w:tc>
      </w:tr>
    </w:tbl>
    <w:p>
      <w:pPr>
        <w:pStyle w:val="TextBody"/>
        <w:pBdr>
          <w:bottom w:val="single" w:sz="6" w:space="1" w:color="000000"/>
        </w:pBdr>
        <w:spacing w:before="0" w:after="0"/>
        <w:rPr/>
      </w:pPr>
      <w:r>
        <w:rPr/>
        <w:t> </w:t>
      </w:r>
    </w:p>
    <w:tbl>
      <w:tblPr>
        <w:tblW w:w="4510" w:type="dxa"/>
        <w:jc w:val="left"/>
        <w:tblInd w:w="0" w:type="dxa"/>
        <w:tblCellMar>
          <w:top w:w="0" w:type="dxa"/>
          <w:left w:w="0" w:type="dxa"/>
          <w:bottom w:w="0" w:type="dxa"/>
          <w:right w:w="0" w:type="dxa"/>
        </w:tblCellMar>
      </w:tblPr>
      <w:tblGrid>
        <w:gridCol w:w="125"/>
        <w:gridCol w:w="4385"/>
      </w:tblGrid>
      <w:tr>
        <w:trPr/>
        <w:tc>
          <w:tcPr>
            <w:tcW w:w="12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438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Indicates management contract or compensatory plan.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rPr>
                <w:caps w:val="false"/>
                <w:smallCaps w:val="false"/>
              </w:rPr>
            </w:pPr>
            <w:r>
              <w:rPr>
                <w:caps w:val="false"/>
                <w:smallCaps w:val="false"/>
              </w:rPr>
              <w:t>†</w:t>
            </w:r>
          </w:p>
        </w:tc>
        <w:tc>
          <w:tcPr>
            <w:tcW w:w="1006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portions of this document that constitute confidential information have been redacted in accordance with Regulation S-K, Item 601(b)(10).</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certification that accompanies this Annual Report on Form 10-K pursuant to 18 U.S.C. Section 1350, as adopted pursuant to Section 906 of the Sarbanes-Oxley Act of 2002, is not deemed “filed” by the Registrant for purposes of Section 18 of the Securities Exchange Act of 1934, as amended.</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171</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63" w:name="Signatures"/>
      <w:bookmarkEnd w:id="63"/>
      <w:r>
        <w:rPr>
          <w:rFonts w:ascii="Times New Roman" w:hAnsi="Times New Roman"/>
          <w:b/>
          <w:i w:val="false"/>
          <w:caps w:val="false"/>
          <w:smallCaps w:val="false"/>
          <w:sz w:val="20"/>
        </w:rPr>
        <w:t>SIGNATURES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i w:val="false"/>
          <w:caps w:val="false"/>
          <w:smallCaps w:val="false"/>
          <w:sz w:val="20"/>
        </w:rPr>
        <w:t>.</w:t>
      </w:r>
    </w:p>
    <w:p>
      <w:pPr>
        <w:pStyle w:val="TextBody"/>
        <w:spacing w:before="0" w:after="0"/>
        <w:rPr/>
      </w:pPr>
      <w:r>
        <w:rPr/>
        <w:t> </w:t>
      </w:r>
    </w:p>
    <w:tbl>
      <w:tblPr>
        <w:tblW w:w="4959" w:type="dxa"/>
        <w:jc w:val="right"/>
        <w:tblInd w:w="0" w:type="dxa"/>
        <w:tblCellMar>
          <w:top w:w="0" w:type="dxa"/>
          <w:left w:w="0" w:type="dxa"/>
          <w:bottom w:w="0" w:type="dxa"/>
          <w:right w:w="0" w:type="dxa"/>
        </w:tblCellMar>
      </w:tblPr>
      <w:tblGrid>
        <w:gridCol w:w="1790"/>
        <w:gridCol w:w="448"/>
        <w:gridCol w:w="2721"/>
      </w:tblGrid>
      <w:tr>
        <w:trPr/>
        <w:tc>
          <w:tcPr>
            <w:tcW w:w="179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721"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tcPr>
          <w:p>
            <w:pPr>
              <w:pStyle w:val="TableContents"/>
              <w:spacing w:before="0" w:after="0"/>
              <w:ind w:left="0" w:right="0" w:hanging="0"/>
              <w:jc w:val="left"/>
              <w:rPr/>
            </w:pPr>
            <w:r>
              <w:rPr/>
              <w:t> </w:t>
            </w:r>
          </w:p>
        </w:tc>
        <w:tc>
          <w:tcPr>
            <w:tcW w:w="3169" w:type="dxa"/>
            <w:gridSpan w:val="2"/>
            <w:tcBorders/>
            <w:shd w:fill="auto" w:val="clear"/>
          </w:tcPr>
          <w:p>
            <w:pPr>
              <w:pStyle w:val="TableContents"/>
              <w:spacing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t>TERNS PHARMACEUTICALS, INC.</w:t>
            </w:r>
          </w:p>
        </w:tc>
      </w:tr>
      <w:tr>
        <w:trPr/>
        <w:tc>
          <w:tcPr>
            <w:tcW w:w="1790" w:type="dxa"/>
            <w:tcBorders/>
            <w:shd w:fill="auto" w:val="clear"/>
          </w:tcPr>
          <w:p>
            <w:pPr>
              <w:pStyle w:val="TableContents"/>
              <w:spacing w:before="0" w:after="0"/>
              <w:ind w:left="0" w:right="0" w:hanging="0"/>
              <w:jc w:val="left"/>
              <w:rPr/>
            </w:pPr>
            <w:r>
              <w:rPr/>
              <w:t> </w:t>
            </w:r>
          </w:p>
        </w:tc>
        <w:tc>
          <w:tcPr>
            <w:tcW w:w="448" w:type="dxa"/>
            <w:tcBorders/>
            <w:shd w:fill="auto" w:val="clear"/>
            <w:vAlign w:val="center"/>
          </w:tcPr>
          <w:p>
            <w:pPr>
              <w:pStyle w:val="TableContents"/>
              <w:spacing w:before="0" w:after="0"/>
              <w:ind w:left="0" w:right="0" w:hanging="0"/>
              <w:jc w:val="left"/>
              <w:rPr>
                <w:caps w:val="false"/>
                <w:smallCaps w:val="false"/>
              </w:rPr>
            </w:pPr>
            <w:r>
              <w:rPr>
                <w:caps w:val="false"/>
                <w:smallCaps w:val="false"/>
              </w:rPr>
              <w:t> </w:t>
            </w:r>
          </w:p>
        </w:tc>
        <w:tc>
          <w:tcPr>
            <w:tcW w:w="2721" w:type="dxa"/>
            <w:tcBorders/>
            <w:shd w:fill="auto" w:val="clear"/>
            <w:vAlign w:val="center"/>
          </w:tcPr>
          <w:p>
            <w:pPr>
              <w:pStyle w:val="TableContents"/>
              <w:spacing w:before="0" w:after="0"/>
              <w:ind w:left="0" w:right="0" w:hanging="0"/>
              <w:jc w:val="left"/>
              <w:rPr>
                <w:caps w:val="false"/>
                <w:smallCaps w:val="false"/>
              </w:rPr>
            </w:pPr>
            <w:r>
              <w:rPr>
                <w:caps w:val="false"/>
                <w:smallCaps w:val="false"/>
              </w:rPr>
              <w:t> </w:t>
            </w:r>
          </w:p>
        </w:tc>
      </w:tr>
      <w:tr>
        <w:trPr/>
        <w:tc>
          <w:tcPr>
            <w:tcW w:w="179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March 30, 2021</w:t>
            </w:r>
          </w:p>
        </w:tc>
        <w:tc>
          <w:tcPr>
            <w:tcW w:w="448"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2721"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Senthil Sundaram</w:t>
            </w:r>
          </w:p>
        </w:tc>
      </w:tr>
      <w:tr>
        <w:trPr/>
        <w:tc>
          <w:tcPr>
            <w:tcW w:w="1790" w:type="dxa"/>
            <w:tcBorders/>
            <w:shd w:fill="auto" w:val="clear"/>
          </w:tcPr>
          <w:p>
            <w:pPr>
              <w:pStyle w:val="TableContents"/>
              <w:spacing w:before="0" w:after="0"/>
              <w:ind w:left="0" w:right="0" w:hanging="0"/>
              <w:jc w:val="left"/>
              <w:rPr/>
            </w:pPr>
            <w:r>
              <w:rPr/>
              <w:t> </w:t>
            </w:r>
          </w:p>
        </w:tc>
        <w:tc>
          <w:tcPr>
            <w:tcW w:w="448" w:type="dxa"/>
            <w:tcBorders/>
            <w:shd w:fill="auto" w:val="clear"/>
          </w:tcPr>
          <w:p>
            <w:pPr>
              <w:pStyle w:val="TableContents"/>
              <w:spacing w:before="0" w:after="0"/>
              <w:ind w:left="0" w:right="0" w:hanging="0"/>
              <w:jc w:val="left"/>
              <w:rPr>
                <w:caps w:val="false"/>
                <w:smallCaps w:val="false"/>
              </w:rPr>
            </w:pPr>
            <w:r>
              <w:rPr>
                <w:caps w:val="false"/>
                <w:smallCaps w:val="false"/>
              </w:rPr>
              <w:t> </w:t>
            </w:r>
          </w:p>
        </w:tc>
        <w:tc>
          <w:tcPr>
            <w:tcW w:w="2721" w:type="dxa"/>
            <w:tcBorders/>
            <w:shd w:fill="auto" w:val="clear"/>
          </w:tcPr>
          <w:p>
            <w:pPr>
              <w:pStyle w:val="TableContents"/>
              <w:spacing w:before="0" w:after="0"/>
              <w:ind w:left="240" w:right="0" w:hanging="2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Senthil Sundaram</w:t>
            </w:r>
          </w:p>
        </w:tc>
      </w:tr>
      <w:tr>
        <w:trPr/>
        <w:tc>
          <w:tcPr>
            <w:tcW w:w="1790" w:type="dxa"/>
            <w:tcBorders/>
            <w:shd w:fill="auto" w:val="clear"/>
          </w:tcPr>
          <w:p>
            <w:pPr>
              <w:pStyle w:val="TableContents"/>
              <w:spacing w:before="0" w:after="0"/>
              <w:ind w:left="0" w:right="0" w:hanging="0"/>
              <w:jc w:val="left"/>
              <w:rPr/>
            </w:pPr>
            <w:r>
              <w:rPr/>
              <w:t> </w:t>
            </w:r>
          </w:p>
        </w:tc>
        <w:tc>
          <w:tcPr>
            <w:tcW w:w="448" w:type="dxa"/>
            <w:tcBorders/>
            <w:shd w:fill="auto" w:val="clear"/>
          </w:tcPr>
          <w:p>
            <w:pPr>
              <w:pStyle w:val="TableContents"/>
              <w:spacing w:before="0" w:after="0"/>
              <w:ind w:left="0" w:right="0" w:hanging="0"/>
              <w:jc w:val="left"/>
              <w:rPr>
                <w:caps w:val="false"/>
                <w:smallCaps w:val="false"/>
              </w:rPr>
            </w:pPr>
            <w:r>
              <w:rPr>
                <w:caps w:val="false"/>
                <w:smallCaps w:val="false"/>
              </w:rPr>
              <w:t> </w:t>
            </w:r>
          </w:p>
        </w:tc>
        <w:tc>
          <w:tcPr>
            <w:tcW w:w="2721" w:type="dxa"/>
            <w:tcBorders/>
            <w:shd w:fill="auto" w:val="clear"/>
          </w:tcPr>
          <w:p>
            <w:pPr>
              <w:pStyle w:val="TableContents"/>
              <w:spacing w:before="0" w:after="0"/>
              <w:ind w:left="240" w:right="0" w:hanging="2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spacing w:before="0" w:after="0"/>
        <w:rPr/>
      </w:pPr>
      <w:r>
        <w:rPr/>
        <w:t> </w:t>
      </w:r>
    </w:p>
    <w:p>
      <w:pPr>
        <w:pStyle w:val="TextBody"/>
        <w:shd w:fill="FFFFFF" w:val="clear"/>
        <w:spacing w:before="40" w:after="0"/>
        <w:jc w:val="center"/>
        <w:rPr>
          <w:rFonts w:ascii="Times New Roman" w:hAnsi="Times New Roman"/>
          <w:b/>
          <w:i w:val="false"/>
          <w:caps w:val="false"/>
          <w:smallCaps w:val="false"/>
          <w:color w:val="000000"/>
          <w:sz w:val="20"/>
        </w:rPr>
      </w:pPr>
      <w:bookmarkStart w:id="64" w:name="POWER_ATTORNEY"/>
      <w:bookmarkEnd w:id="64"/>
      <w:r>
        <w:rPr>
          <w:rFonts w:ascii="Times New Roman" w:hAnsi="Times New Roman"/>
          <w:b/>
          <w:i w:val="false"/>
          <w:caps w:val="false"/>
          <w:smallCaps w:val="false"/>
          <w:color w:val="000000"/>
          <w:sz w:val="20"/>
        </w:rPr>
        <w:t>POWER OF ATTORNEY</w:t>
      </w:r>
    </w:p>
    <w:p>
      <w:pPr>
        <w:pStyle w:val="TextBody"/>
        <w:shd w:fill="FFFFFF" w:val="clear"/>
        <w:spacing w:before="0" w:after="0"/>
        <w:jc w:val="center"/>
        <w:rPr/>
      </w:pPr>
      <w:r>
        <w:rPr/>
        <w:t> </w:t>
      </w:r>
    </w:p>
    <w:p>
      <w:pPr>
        <w:pStyle w:val="TextBody"/>
        <w:shd w:fill="FFFFFF" w:val="clear"/>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KNOW ALL PERSONS BY THESE PRESENTS, that each person whose signature appears below constitutes and appoints Senthil Sundaram as his or her true and lawful attorney-in-fact and agent, with the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pStyle w:val="TextBody"/>
        <w:shd w:fill="FFFFFF" w:val="clear"/>
        <w:spacing w:before="0" w:after="0"/>
        <w:jc w:val="both"/>
        <w:rPr/>
      </w:pPr>
      <w:r>
        <w:rPr/>
        <w:t> </w:t>
      </w:r>
    </w:p>
    <w:p>
      <w:pPr>
        <w:pStyle w:val="TextBody"/>
        <w:shd w:fill="FFFFFF" w:val="clear"/>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spacing w:before="0" w:after="0"/>
        <w:rPr/>
      </w:pPr>
      <w:r>
        <w:rPr/>
        <w:t> </w:t>
      </w:r>
    </w:p>
    <w:tbl>
      <w:tblPr>
        <w:tblW w:w="7320" w:type="dxa"/>
        <w:jc w:val="center"/>
        <w:tblInd w:w="0" w:type="dxa"/>
        <w:tblCellMar>
          <w:top w:w="0" w:type="dxa"/>
          <w:left w:w="0" w:type="dxa"/>
          <w:bottom w:w="28" w:type="dxa"/>
          <w:right w:w="0" w:type="dxa"/>
        </w:tblCellMar>
      </w:tblPr>
      <w:tblGrid>
        <w:gridCol w:w="2150"/>
        <w:gridCol w:w="60"/>
        <w:gridCol w:w="3740"/>
        <w:gridCol w:w="60"/>
        <w:gridCol w:w="1310"/>
      </w:tblGrid>
      <w:tr>
        <w:trPr/>
        <w:tc>
          <w:tcPr>
            <w:tcW w:w="215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Signature</w:t>
            </w:r>
          </w:p>
          <w:p>
            <w:pPr>
              <w:pStyle w:val="TableContents"/>
              <w:pBdr/>
              <w:spacing w:lineRule="atLeast" w:line="141" w:before="0" w:after="0"/>
              <w:ind w:left="0" w:right="0" w:hanging="0"/>
              <w:jc w:val="center"/>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Title</w:t>
            </w:r>
          </w:p>
          <w:p>
            <w:pPr>
              <w:pStyle w:val="TableContents"/>
              <w:pBdr/>
              <w:spacing w:lineRule="atLeast" w:line="141" w:before="0" w:after="0"/>
              <w:ind w:left="0" w:right="0" w:hanging="0"/>
              <w:jc w:val="center"/>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31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w:t>
            </w:r>
          </w:p>
          <w:p>
            <w:pPr>
              <w:pStyle w:val="TableContents"/>
              <w:pBdr/>
              <w:spacing w:lineRule="atLeast" w:line="141" w:before="0" w:after="0"/>
              <w:ind w:left="0" w:right="0" w:hanging="0"/>
              <w:jc w:val="center"/>
              <w:rPr>
                <w:caps w:val="false"/>
                <w:smallCaps w:val="false"/>
              </w:rPr>
            </w:pPr>
            <w:r>
              <w:rPr>
                <w:caps w:val="false"/>
                <w:smallCaps w:val="false"/>
              </w:rPr>
              <w:t> </w:t>
            </w:r>
          </w:p>
        </w:tc>
      </w:tr>
      <w:tr>
        <w:trPr/>
        <w:tc>
          <w:tcPr>
            <w:tcW w:w="2150" w:type="dxa"/>
            <w:tcBorders>
              <w:top w:val="single" w:sz="6" w:space="0" w:color="000000"/>
            </w:tcBorders>
            <w:shd w:fill="auto" w:val="clear"/>
            <w:tcMar>
              <w:top w:w="28" w:type="dxa"/>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pPr>
            <w:r>
              <w:rPr/>
              <w:t> </w:t>
            </w:r>
          </w:p>
        </w:tc>
        <w:tc>
          <w:tcPr>
            <w:tcW w:w="3740" w:type="dxa"/>
            <w:tcBorders>
              <w:top w:val="single" w:sz="6" w:space="0" w:color="000000"/>
            </w:tcBorders>
            <w:shd w:fill="auto" w:val="clear"/>
            <w:tcMar>
              <w:top w:w="28" w:type="dxa"/>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pPr>
            <w:r>
              <w:rPr/>
              <w:t> </w:t>
            </w:r>
          </w:p>
        </w:tc>
        <w:tc>
          <w:tcPr>
            <w:tcW w:w="1310" w:type="dxa"/>
            <w:tcBorders>
              <w:top w:val="single" w:sz="6" w:space="0" w:color="000000"/>
            </w:tcBorders>
            <w:shd w:fill="auto" w:val="clear"/>
            <w:tcMar>
              <w:top w:w="28" w:type="dxa"/>
              <w:bottom w:w="0" w:type="dxa"/>
            </w:tcMar>
            <w:vAlign w:val="center"/>
          </w:tcPr>
          <w:p>
            <w:pPr>
              <w:pStyle w:val="TableContents"/>
              <w:spacing w:before="0" w:after="0"/>
              <w:ind w:left="0" w:right="0" w:hanging="0"/>
              <w:rPr>
                <w:caps w:val="false"/>
                <w:smallCaps w:val="false"/>
              </w:rPr>
            </w:pPr>
            <w:r>
              <w:rPr>
                <w:caps w:val="false"/>
                <w:smallCaps w:val="false"/>
              </w:rPr>
              <w:t> </w:t>
            </w:r>
          </w:p>
        </w:tc>
      </w:tr>
      <w:tr>
        <w:trPr/>
        <w:tc>
          <w:tcPr>
            <w:tcW w:w="215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Senthil Sundaram</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Senthil Sundaram</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 and Director</w:t>
            </w:r>
          </w:p>
          <w:p>
            <w:pPr>
              <w:pStyle w:val="TableContents"/>
              <w:spacing w:before="0" w:after="20"/>
              <w:ind w:left="0" w:right="0" w:hanging="0"/>
              <w:jc w:val="center"/>
              <w:rPr>
                <w:rFonts w:ascii="Times New Roman" w:hAnsi="Times New Roman"/>
                <w:b w:val="false"/>
                <w:i/>
                <w:caps w:val="false"/>
                <w:smallCaps w:val="false"/>
                <w:sz w:val="20"/>
              </w:rPr>
            </w:pPr>
            <w:r>
              <w:rPr>
                <w:rFonts w:ascii="Times New Roman" w:hAnsi="Times New Roman"/>
                <w:b w:val="false"/>
                <w:i/>
                <w:caps w:val="false"/>
                <w:smallCaps w:val="false"/>
                <w:sz w:val="20"/>
              </w:rPr>
              <w:t>(Principal Executive Officer)</w:t>
            </w:r>
          </w:p>
        </w:tc>
        <w:tc>
          <w:tcPr>
            <w:tcW w:w="60" w:type="dxa"/>
            <w:tcBorders/>
            <w:shd w:fill="auto" w:val="clear"/>
            <w:tcMar>
              <w:bottom w:w="0" w:type="dxa"/>
            </w:tcMar>
          </w:tcPr>
          <w:p>
            <w:pPr>
              <w:pStyle w:val="TableContents"/>
              <w:spacing w:before="0" w:after="0"/>
              <w:ind w:left="144" w:right="0" w:hanging="0"/>
              <w:jc w:val="center"/>
              <w:rPr/>
            </w:pPr>
            <w:r>
              <w:rPr/>
              <w:t> </w:t>
            </w:r>
          </w:p>
        </w:tc>
        <w:tc>
          <w:tcPr>
            <w:tcW w:w="1310" w:type="dxa"/>
            <w:tcBorders/>
            <w:shd w:fill="auto" w:val="clear"/>
            <w:tcMar>
              <w:bottom w:w="0" w:type="dxa"/>
            </w:tcMar>
            <w:vAlign w:val="center"/>
          </w:tcPr>
          <w:p>
            <w:pPr>
              <w:pStyle w:val="TableContents"/>
              <w:spacing w:before="0" w:after="0"/>
              <w:ind w:left="144"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tc>
      </w:tr>
      <w:tr>
        <w:trPr/>
        <w:tc>
          <w:tcPr>
            <w:tcW w:w="21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1310" w:type="dxa"/>
            <w:tcBorders/>
            <w:shd w:fill="auto" w:val="clear"/>
            <w:tcMar>
              <w:bottom w:w="0" w:type="dxa"/>
            </w:tcMar>
            <w:vAlign w:val="center"/>
          </w:tcPr>
          <w:p>
            <w:pPr>
              <w:pStyle w:val="TableContents"/>
              <w:spacing w:before="0" w:after="0"/>
              <w:ind w:left="0" w:right="0" w:hanging="0"/>
              <w:rPr/>
            </w:pPr>
            <w:r>
              <w:rPr/>
              <w:t> </w:t>
            </w:r>
          </w:p>
        </w:tc>
      </w:tr>
      <w:tr>
        <w:trPr/>
        <w:tc>
          <w:tcPr>
            <w:tcW w:w="215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1310" w:type="dxa"/>
            <w:tcBorders/>
            <w:shd w:fill="auto" w:val="clear"/>
            <w:tcMar>
              <w:bottom w:w="0" w:type="dxa"/>
            </w:tcMar>
            <w:vAlign w:val="center"/>
          </w:tcPr>
          <w:p>
            <w:pPr>
              <w:pStyle w:val="TableContents"/>
              <w:spacing w:before="0" w:after="0"/>
              <w:ind w:left="0" w:right="0" w:hanging="0"/>
              <w:rPr/>
            </w:pPr>
            <w:r>
              <w:rPr/>
              <w:t> </w:t>
            </w:r>
          </w:p>
        </w:tc>
      </w:tr>
      <w:tr>
        <w:trPr/>
        <w:tc>
          <w:tcPr>
            <w:tcW w:w="215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Mark Vignola</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 Vignola, Ph.D.</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w:t>
            </w:r>
          </w:p>
          <w:p>
            <w:pPr>
              <w:pStyle w:val="TableContents"/>
              <w:spacing w:before="0" w:after="20"/>
              <w:ind w:left="0" w:right="0" w:hanging="0"/>
              <w:jc w:val="center"/>
              <w:rPr>
                <w:rFonts w:ascii="Times New Roman" w:hAnsi="Times New Roman"/>
                <w:b w:val="false"/>
                <w:i/>
                <w:caps w:val="false"/>
                <w:smallCaps w:val="false"/>
                <w:sz w:val="20"/>
              </w:rPr>
            </w:pPr>
            <w:r>
              <w:rPr>
                <w:rFonts w:ascii="Times New Roman" w:hAnsi="Times New Roman"/>
                <w:b w:val="false"/>
                <w:i/>
                <w:caps w:val="false"/>
                <w:smallCaps w:val="false"/>
                <w:sz w:val="20"/>
              </w:rPr>
              <w:t>(Principal Financial and Accounting Officer)</w:t>
            </w:r>
          </w:p>
        </w:tc>
        <w:tc>
          <w:tcPr>
            <w:tcW w:w="60" w:type="dxa"/>
            <w:tcBorders/>
            <w:shd w:fill="auto" w:val="clear"/>
            <w:tcMar>
              <w:bottom w:w="0" w:type="dxa"/>
            </w:tcMar>
          </w:tcPr>
          <w:p>
            <w:pPr>
              <w:pStyle w:val="TableContents"/>
              <w:spacing w:before="0" w:after="0"/>
              <w:ind w:left="144" w:right="0" w:hanging="0"/>
              <w:jc w:val="center"/>
              <w:rPr/>
            </w:pPr>
            <w:r>
              <w:rPr/>
              <w:t> </w:t>
            </w:r>
          </w:p>
        </w:tc>
        <w:tc>
          <w:tcPr>
            <w:tcW w:w="1310" w:type="dxa"/>
            <w:tcBorders/>
            <w:shd w:fill="auto" w:val="clear"/>
            <w:tcMar>
              <w:bottom w:w="0" w:type="dxa"/>
            </w:tcMar>
            <w:vAlign w:val="center"/>
          </w:tcPr>
          <w:p>
            <w:pPr>
              <w:pStyle w:val="TableContents"/>
              <w:spacing w:before="0" w:after="0"/>
              <w:ind w:left="144"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tc>
      </w:tr>
      <w:tr>
        <w:trPr/>
        <w:tc>
          <w:tcPr>
            <w:tcW w:w="21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310" w:type="dxa"/>
            <w:tcBorders/>
            <w:shd w:fill="auto" w:val="clear"/>
            <w:tcMar>
              <w:bottom w:w="0" w:type="dxa"/>
            </w:tcMar>
            <w:vAlign w:val="center"/>
          </w:tcPr>
          <w:p>
            <w:pPr>
              <w:pStyle w:val="TableContents"/>
              <w:spacing w:before="0" w:after="0"/>
              <w:ind w:left="0" w:right="0" w:hanging="0"/>
              <w:jc w:val="center"/>
              <w:rPr/>
            </w:pPr>
            <w:r>
              <w:rPr/>
              <w:t> </w:t>
            </w:r>
          </w:p>
        </w:tc>
      </w:tr>
      <w:tr>
        <w:trPr/>
        <w:tc>
          <w:tcPr>
            <w:tcW w:w="215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Weidong Zhong</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Weidong Zhong, Ph.D.</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Scientific Officer and Director</w:t>
            </w:r>
          </w:p>
        </w:tc>
        <w:tc>
          <w:tcPr>
            <w:tcW w:w="60" w:type="dxa"/>
            <w:tcBorders/>
            <w:shd w:fill="auto" w:val="clear"/>
            <w:tcMar>
              <w:bottom w:w="0" w:type="dxa"/>
            </w:tcMar>
          </w:tcPr>
          <w:p>
            <w:pPr>
              <w:pStyle w:val="TableContents"/>
              <w:spacing w:before="0" w:after="0"/>
              <w:ind w:left="144" w:right="0" w:hanging="0"/>
              <w:jc w:val="center"/>
              <w:rPr/>
            </w:pPr>
            <w:r>
              <w:rPr/>
              <w:t> </w:t>
            </w:r>
          </w:p>
        </w:tc>
        <w:tc>
          <w:tcPr>
            <w:tcW w:w="1310" w:type="dxa"/>
            <w:tcBorders/>
            <w:shd w:fill="auto" w:val="clear"/>
            <w:tcMar>
              <w:bottom w:w="0" w:type="dxa"/>
            </w:tcMar>
            <w:vAlign w:val="center"/>
          </w:tcPr>
          <w:p>
            <w:pPr>
              <w:pStyle w:val="TableContents"/>
              <w:spacing w:before="0" w:after="0"/>
              <w:ind w:left="144"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tc>
      </w:tr>
      <w:tr>
        <w:trPr/>
        <w:tc>
          <w:tcPr>
            <w:tcW w:w="21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310" w:type="dxa"/>
            <w:tcBorders/>
            <w:shd w:fill="auto" w:val="clear"/>
            <w:tcMar>
              <w:bottom w:w="0" w:type="dxa"/>
            </w:tcMar>
            <w:vAlign w:val="center"/>
          </w:tcPr>
          <w:p>
            <w:pPr>
              <w:pStyle w:val="TableContents"/>
              <w:spacing w:before="0" w:after="0"/>
              <w:ind w:left="0" w:right="0" w:hanging="0"/>
              <w:jc w:val="center"/>
              <w:rPr/>
            </w:pPr>
            <w:r>
              <w:rPr/>
              <w:t> </w:t>
            </w:r>
          </w:p>
        </w:tc>
      </w:tr>
      <w:tr>
        <w:trPr/>
        <w:tc>
          <w:tcPr>
            <w:tcW w:w="215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David Fellows</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David Fellows</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Chairman of the Board of Directors</w:t>
            </w:r>
          </w:p>
        </w:tc>
        <w:tc>
          <w:tcPr>
            <w:tcW w:w="60" w:type="dxa"/>
            <w:tcBorders/>
            <w:shd w:fill="auto" w:val="clear"/>
            <w:tcMar>
              <w:bottom w:w="0" w:type="dxa"/>
            </w:tcMar>
          </w:tcPr>
          <w:p>
            <w:pPr>
              <w:pStyle w:val="TableContents"/>
              <w:spacing w:before="0" w:after="0"/>
              <w:ind w:left="144" w:right="0" w:hanging="0"/>
              <w:jc w:val="center"/>
              <w:rPr/>
            </w:pPr>
            <w:r>
              <w:rPr/>
              <w:t> </w:t>
            </w:r>
          </w:p>
        </w:tc>
        <w:tc>
          <w:tcPr>
            <w:tcW w:w="1310" w:type="dxa"/>
            <w:tcBorders/>
            <w:shd w:fill="auto" w:val="clear"/>
            <w:tcMar>
              <w:bottom w:w="0" w:type="dxa"/>
            </w:tcMar>
            <w:vAlign w:val="center"/>
          </w:tcPr>
          <w:p>
            <w:pPr>
              <w:pStyle w:val="TableContents"/>
              <w:spacing w:before="0" w:after="0"/>
              <w:ind w:left="144"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tc>
      </w:tr>
      <w:tr>
        <w:trPr/>
        <w:tc>
          <w:tcPr>
            <w:tcW w:w="21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310" w:type="dxa"/>
            <w:tcBorders/>
            <w:shd w:fill="auto" w:val="clear"/>
            <w:tcMar>
              <w:bottom w:w="0" w:type="dxa"/>
            </w:tcMar>
            <w:vAlign w:val="center"/>
          </w:tcPr>
          <w:p>
            <w:pPr>
              <w:pStyle w:val="TableContents"/>
              <w:spacing w:before="0" w:after="0"/>
              <w:ind w:left="0" w:right="0" w:hanging="0"/>
              <w:jc w:val="center"/>
              <w:rPr/>
            </w:pPr>
            <w:r>
              <w:rPr/>
              <w:t> </w:t>
            </w:r>
          </w:p>
        </w:tc>
      </w:tr>
      <w:tr>
        <w:trPr/>
        <w:tc>
          <w:tcPr>
            <w:tcW w:w="215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Carl Gordon</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Carl Gordon, Ph.D., C.F.A.</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shd w:fill="auto" w:val="clear"/>
            <w:tcMar>
              <w:bottom w:w="0" w:type="dxa"/>
            </w:tcMar>
          </w:tcPr>
          <w:p>
            <w:pPr>
              <w:pStyle w:val="TableContents"/>
              <w:spacing w:before="0" w:after="0"/>
              <w:ind w:left="144" w:right="0" w:hanging="0"/>
              <w:jc w:val="center"/>
              <w:rPr/>
            </w:pPr>
            <w:r>
              <w:rPr/>
              <w:t> </w:t>
            </w:r>
          </w:p>
        </w:tc>
        <w:tc>
          <w:tcPr>
            <w:tcW w:w="1310" w:type="dxa"/>
            <w:tcBorders/>
            <w:shd w:fill="auto" w:val="clear"/>
            <w:tcMar>
              <w:bottom w:w="0" w:type="dxa"/>
            </w:tcMar>
            <w:vAlign w:val="center"/>
          </w:tcPr>
          <w:p>
            <w:pPr>
              <w:pStyle w:val="TableContents"/>
              <w:spacing w:before="0" w:after="0"/>
              <w:ind w:left="144"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tc>
      </w:tr>
      <w:tr>
        <w:trPr/>
        <w:tc>
          <w:tcPr>
            <w:tcW w:w="21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310" w:type="dxa"/>
            <w:tcBorders/>
            <w:shd w:fill="auto" w:val="clear"/>
            <w:tcMar>
              <w:bottom w:w="0" w:type="dxa"/>
            </w:tcMar>
            <w:vAlign w:val="center"/>
          </w:tcPr>
          <w:p>
            <w:pPr>
              <w:pStyle w:val="TableContents"/>
              <w:spacing w:before="0" w:after="0"/>
              <w:ind w:left="0" w:right="0" w:hanging="0"/>
              <w:jc w:val="center"/>
              <w:rPr/>
            </w:pPr>
            <w:r>
              <w:rPr/>
              <w:t> </w:t>
            </w:r>
          </w:p>
        </w:tc>
      </w:tr>
      <w:tr>
        <w:trPr/>
        <w:tc>
          <w:tcPr>
            <w:tcW w:w="215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Jeffrey Kindler</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Jeffrey Kindler, Esq.</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shd w:fill="auto" w:val="clear"/>
            <w:tcMar>
              <w:bottom w:w="0" w:type="dxa"/>
            </w:tcMar>
          </w:tcPr>
          <w:p>
            <w:pPr>
              <w:pStyle w:val="TableContents"/>
              <w:spacing w:before="0" w:after="0"/>
              <w:ind w:left="144" w:right="0" w:hanging="0"/>
              <w:jc w:val="center"/>
              <w:rPr/>
            </w:pPr>
            <w:r>
              <w:rPr/>
              <w:t> </w:t>
            </w:r>
          </w:p>
        </w:tc>
        <w:tc>
          <w:tcPr>
            <w:tcW w:w="1310" w:type="dxa"/>
            <w:tcBorders/>
            <w:shd w:fill="auto" w:val="clear"/>
            <w:tcMar>
              <w:bottom w:w="0" w:type="dxa"/>
            </w:tcMar>
            <w:vAlign w:val="center"/>
          </w:tcPr>
          <w:p>
            <w:pPr>
              <w:pStyle w:val="TableContents"/>
              <w:spacing w:before="0" w:after="0"/>
              <w:ind w:left="144"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tc>
      </w:tr>
      <w:tr>
        <w:trPr/>
        <w:tc>
          <w:tcPr>
            <w:tcW w:w="21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310" w:type="dxa"/>
            <w:tcBorders/>
            <w:shd w:fill="auto" w:val="clear"/>
            <w:tcMar>
              <w:bottom w:w="0" w:type="dxa"/>
            </w:tcMar>
            <w:vAlign w:val="center"/>
          </w:tcPr>
          <w:p>
            <w:pPr>
              <w:pStyle w:val="TableContents"/>
              <w:spacing w:before="0" w:after="0"/>
              <w:ind w:left="0" w:right="0" w:hanging="0"/>
              <w:jc w:val="center"/>
              <w:rPr/>
            </w:pPr>
            <w:r>
              <w:rPr/>
              <w:t> </w:t>
            </w:r>
          </w:p>
        </w:tc>
      </w:tr>
      <w:tr>
        <w:trPr/>
        <w:tc>
          <w:tcPr>
            <w:tcW w:w="215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Hongbo Lu</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Hongbo Lu, Ph.D.</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shd w:fill="auto" w:val="clear"/>
            <w:tcMar>
              <w:bottom w:w="0" w:type="dxa"/>
            </w:tcMar>
          </w:tcPr>
          <w:p>
            <w:pPr>
              <w:pStyle w:val="TableContents"/>
              <w:spacing w:before="0" w:after="0"/>
              <w:ind w:left="144" w:right="0" w:hanging="0"/>
              <w:jc w:val="center"/>
              <w:rPr/>
            </w:pPr>
            <w:r>
              <w:rPr/>
              <w:t> </w:t>
            </w:r>
          </w:p>
        </w:tc>
        <w:tc>
          <w:tcPr>
            <w:tcW w:w="1310" w:type="dxa"/>
            <w:tcBorders/>
            <w:shd w:fill="auto" w:val="clear"/>
            <w:tcMar>
              <w:bottom w:w="0" w:type="dxa"/>
            </w:tcMar>
            <w:vAlign w:val="center"/>
          </w:tcPr>
          <w:p>
            <w:pPr>
              <w:pStyle w:val="TableContents"/>
              <w:spacing w:before="0" w:after="0"/>
              <w:ind w:left="144"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tc>
      </w:tr>
      <w:tr>
        <w:trPr/>
        <w:tc>
          <w:tcPr>
            <w:tcW w:w="21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310" w:type="dxa"/>
            <w:tcBorders/>
            <w:shd w:fill="auto" w:val="clear"/>
            <w:tcMar>
              <w:bottom w:w="0" w:type="dxa"/>
            </w:tcMar>
            <w:vAlign w:val="center"/>
          </w:tcPr>
          <w:p>
            <w:pPr>
              <w:pStyle w:val="TableContents"/>
              <w:spacing w:before="0" w:after="0"/>
              <w:ind w:left="0" w:right="0" w:hanging="0"/>
              <w:jc w:val="center"/>
              <w:rPr/>
            </w:pPr>
            <w:r>
              <w:rPr/>
              <w:t> </w:t>
            </w:r>
          </w:p>
        </w:tc>
      </w:tr>
      <w:tr>
        <w:trPr/>
        <w:tc>
          <w:tcPr>
            <w:tcW w:w="2150"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Jill Quigley</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p>
            <w:pPr>
              <w:pStyle w:val="TableContents"/>
              <w:spacing w:before="0" w:after="2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Jill Quigley, Esq.</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Director</w:t>
            </w:r>
          </w:p>
        </w:tc>
        <w:tc>
          <w:tcPr>
            <w:tcW w:w="60" w:type="dxa"/>
            <w:tcBorders/>
            <w:shd w:fill="auto" w:val="clear"/>
            <w:tcMar>
              <w:bottom w:w="0" w:type="dxa"/>
            </w:tcMar>
          </w:tcPr>
          <w:p>
            <w:pPr>
              <w:pStyle w:val="TableContents"/>
              <w:spacing w:before="0" w:after="0"/>
              <w:ind w:left="144" w:right="0" w:hanging="0"/>
              <w:jc w:val="center"/>
              <w:rPr/>
            </w:pPr>
            <w:r>
              <w:rPr/>
              <w:t> </w:t>
            </w:r>
          </w:p>
        </w:tc>
        <w:tc>
          <w:tcPr>
            <w:tcW w:w="1310" w:type="dxa"/>
            <w:tcBorders/>
            <w:shd w:fill="auto" w:val="clear"/>
            <w:tcMar>
              <w:bottom w:w="0" w:type="dxa"/>
            </w:tcMar>
            <w:vAlign w:val="center"/>
          </w:tcPr>
          <w:p>
            <w:pPr>
              <w:pStyle w:val="TableContents"/>
              <w:spacing w:before="0" w:after="0"/>
              <w:ind w:left="144"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tc>
      </w:tr>
      <w:tr>
        <w:trPr/>
        <w:tc>
          <w:tcPr>
            <w:tcW w:w="21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3740"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jc w:val="center"/>
              <w:rPr/>
            </w:pPr>
            <w:r>
              <w:rPr/>
              <w:t> </w:t>
            </w:r>
          </w:p>
        </w:tc>
        <w:tc>
          <w:tcPr>
            <w:tcW w:w="1310" w:type="dxa"/>
            <w:tcBorders/>
            <w:shd w:fill="auto" w:val="clear"/>
            <w:tcMar>
              <w:bottom w:w="0" w:type="dxa"/>
            </w:tcMar>
            <w:vAlign w:val="cente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172</w:t>
      </w:r>
      <w:r>
        <w:br w:type="page"/>
      </w:r>
    </w:p>
    <w:p>
      <w:pPr>
        <w:pStyle w:val="TextBody"/>
        <w:spacing w:before="0" w:after="0"/>
        <w:jc w:val="right"/>
        <w:rPr>
          <w:rFonts w:ascii="Times New Roman" w:hAnsi="Times New Roman"/>
          <w:b/>
          <w:i w:val="false"/>
          <w:caps w:val="false"/>
          <w:smallCaps w:val="false"/>
          <w:sz w:val="20"/>
        </w:rPr>
      </w:pPr>
      <w:bookmarkStart w:id="65" w:name="tern-ex43_284.htm"/>
      <w:bookmarkStart w:id="66" w:name="ksternex43_284"/>
      <w:bookmarkEnd w:id="65"/>
      <w:bookmarkEnd w:id="66"/>
      <w:r>
        <w:rPr>
          <w:rFonts w:ascii="Times New Roman" w:hAnsi="Times New Roman"/>
          <w:b/>
          <w:i w:val="false"/>
          <w:caps w:val="false"/>
          <w:smallCaps w:val="false"/>
          <w:sz w:val="20"/>
        </w:rPr>
        <w:t>Exhibit 4.3</w:t>
      </w:r>
    </w:p>
    <w:p>
      <w:pPr>
        <w:pStyle w:val="TextBody"/>
        <w:spacing w:before="0" w:after="0"/>
        <w:jc w:val="center"/>
        <w:rPr>
          <w:rFonts w:ascii="Times New Roman" w:hAnsi="Times New Roman"/>
          <w:b/>
          <w:i w:val="false"/>
          <w:caps w:val="false"/>
          <w:smallCaps w:val="false"/>
          <w:sz w:val="20"/>
        </w:rPr>
      </w:pPr>
      <w:bookmarkStart w:id="67" w:name="toc56372_16"/>
      <w:bookmarkEnd w:id="67"/>
      <w:r>
        <w:rPr>
          <w:rFonts w:ascii="Times New Roman" w:hAnsi="Times New Roman"/>
          <w:b/>
          <w:i w:val="false"/>
          <w:caps w:val="false"/>
          <w:smallCaps w:val="false"/>
          <w:sz w:val="20"/>
        </w:rPr>
        <w:t xml:space="preserve">DESCRIPTION OF CAPITAL STOCK </w:t>
      </w:r>
    </w:p>
    <w:p>
      <w:pPr>
        <w:pStyle w:val="TextBody"/>
        <w:spacing w:before="24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The following summary describes the capital stock of Terns Pharmaceuticals, Inc. (the “Company,” “we,” “us” and “our”) and the material provisions of our amended and restated certificate of incorporation and our amended and restated bylaws,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are incorporated by reference as Exhibits 3.1, 3.2 and 10.1, respectively, to our Annual Report on Form 10-K.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General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authorized capital stock consists of 150,000,000 shares of common stock, par value $0.0001 per share, and 10,000,000 shares of preferred stock, par value $0.0001 per share.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Common Stock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Voting Rights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is required to take certain actions, including amending certain provisions of our amended and restated certificate of incorporation, including the provisions relating to amending our amended and restated bylaws, the classified board and director liability.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Dividends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Subject to preferences that may be applicable to any then outstanding preferred stock, holders of our common stock are entitled to receive dividends as may be declared from time to time by our board of directors out of legally available funds.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Liquidation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of our liquidation, dissolution or winding up, holders of our common stock are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Rights and Preferences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Fully Paid and Nonassessable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of our outstanding shares of common stock are fully paid and nonassessable.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Preferred Stock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of directors has the authority, without further action by our stockholders, to issue up to 10,000,000 shares of preferred stock in one or more series and to fix the rights, preferences, privileges and restrictions thereof. These </w:t>
      </w:r>
    </w:p>
    <w:p>
      <w:pPr>
        <w:pStyle w:val="TextBody"/>
        <w:spacing w:before="240" w:after="0"/>
        <w:rPr/>
      </w:pPr>
      <w:r>
        <w:rPr/>
        <w:t> </w:t>
      </w:r>
    </w:p>
    <w:p>
      <w:pPr>
        <w:pStyle w:val="TextBody"/>
        <w:spacing w:before="0" w:after="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US-DOCS\122277646.2</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Registration Rights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holders of shares of our common stock, are entitled to certain rights with respect to registration of such shares under the Securities Act of 1933, as amended,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demand, piggyback and Form S-3 registration rights described below will terminate upon the earliest of (i) with respect to each stockholder, such date, on or after the closing of our initial public offering in February 2021, on which all registrable shares held by such stockholder may immediately be sold during any 90-day period pursuant to Rule 144 of the Securities Act, or Rule 144, and (ii) the occurrence of a deemed liquidation event, as defined in our amended and restated certificate of incorporation, as currently in effect. </w:t>
      </w:r>
    </w:p>
    <w:p>
      <w:pPr>
        <w:pStyle w:val="TextBody"/>
        <w:spacing w:before="0" w:after="0"/>
        <w:jc w:val="both"/>
        <w:rPr/>
      </w:pPr>
      <w:r>
        <w:rPr/>
        <w:t>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Demand Registration Rights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holders of shares of our common stock are entitled to certain demand registration rights. Beginning August 3, 2021, certain investors holding, collectively, 20% of registrable securities may, on not more than two occasions, request that we register all or a portion of their shares, subject to certain specified exceptions. If any of these holders exercises its demand registration rights, then these holders will be entitled to register their shares, subject to specified conditions and limitations in the corresponding offering.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Piggyback Registration Rights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that we propose to register any of our securities under the Securities Act, either for our own account or for the account of other security holders, certain holders of shares of our common stock will be entitled to certain “piggyback” registration rights allowing them to include their shares in such registration, subject to specified conditions and limitations.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S-3 Registration Rights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holders of  shares of our common stock are entitled to certain Form S-3 registration rights. Certain investors holding at least 10% of registrable securities may, on not more than two registrations on Form S-3 within any 12-month period, request that we register all or a portion of their shares on Form S-3 if we are qualified to file a registration statement on Form S-3, subject to specified exceptions. Such request for registration on Form S-3 must cover securities with an aggregate offering price which equals or exceeds $1.0 million, net of selling expenses. The right to have such shares registered on Form S-3 is further subject to other specified conditions and limitations.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Anti-Takeover Effects of Provisions of Delaware Law and Our Amended and Restated Certificate of Incorporation and Amended and Restated Bylaws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transactions that stockholders may otherwise consider to be in their best interest or in our best interests, including transactions that might result in a premium over the market price for our shares.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spacing w:before="0" w:after="0"/>
        <w:rPr/>
      </w:pPr>
      <w:r>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 xml:space="preserve">Delaware Anti-Takeover Statute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Undesignated Preferred Stock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Special Stockholder Meetings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Requirements for Advance Notification of Stockholder Nominations and Proposals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Elimination of Stockholder Action by Written Consent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certificate of incorporation eliminates the right of stockholders to act by written consent without a meeting.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Classified Board; Election and Removal of Directors; Filling Vacancies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of directors is divided into three classes, divided as nearly as equal in number as possible. The directors in each class will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Our amended and restated certificate of incorporation provides for the removal of any of our directors only for cause and requires a stockholder vote by the holders of at least a 66 2/3% of the voting power of the then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Choice of Forum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certificate of incorporation and amended and restated bylaws  provide that, unless we consent in writing to the selection of an alternative forum, the Court of Chancery of the State of Delaware is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Securities Exchange Act of 1934 (the “Exchange Act”),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t>
      </w:r>
    </w:p>
    <w:p>
      <w:pPr>
        <w:pStyle w:val="TextBody"/>
        <w:spacing w:before="36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Amendment of Charter Provisions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amendment of any of the above provisions in our amended and restated certificate of incorporation, except for the provision making it possible for our board of directors to issue undesignated preferred stock, would require approval by a stockholder vote by the holders of at least a 66 2/3% of the voting power of the then outstanding voting stock.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changes in our management. It is possible that these provisions could make it more difficult to accomplish transactions that stockholders may otherwise deem to be in their best interests.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Nasdaq Global Select Market Listing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common stock is listed on the Nasdaq Global Select Market under the trading symbol “TERN.” </w:t>
      </w:r>
    </w:p>
    <w:p>
      <w:pPr>
        <w:pStyle w:val="TextBody"/>
        <w:spacing w:before="36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Transfer Agent and Registrar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transfer agent and registrar for our common stock is Computershare, Inc. The transfer agent and registrar’s address is 250 Royall Street, Canton, Massachusetts 02021. </w:t>
      </w:r>
    </w:p>
    <w:p>
      <w:pPr>
        <w:pStyle w:val="TextBody"/>
        <w:spacing w:before="0" w:after="0"/>
        <w:rPr/>
      </w:pPr>
      <w:r>
        <w:rPr/>
        <w:t> </w:t>
      </w:r>
    </w:p>
    <w:p>
      <w:pPr>
        <w:pStyle w:val="TextBody"/>
        <w:spacing w:before="240" w:after="0"/>
        <w:rPr/>
      </w:pPr>
      <w:r>
        <w:rPr/>
        <w:t> </w:t>
      </w:r>
      <w:r>
        <w:br w:type="page"/>
      </w:r>
    </w:p>
    <w:p>
      <w:pPr>
        <w:pStyle w:val="TextBody"/>
        <w:spacing w:before="0" w:after="0"/>
        <w:jc w:val="right"/>
        <w:rPr>
          <w:rFonts w:ascii="Times New Roman" w:hAnsi="Times New Roman"/>
          <w:b/>
          <w:i w:val="false"/>
          <w:caps w:val="false"/>
          <w:smallCaps w:val="false"/>
          <w:sz w:val="20"/>
        </w:rPr>
      </w:pPr>
      <w:bookmarkStart w:id="68" w:name="tern-ex231_285.htm"/>
      <w:bookmarkStart w:id="69" w:name="ksternex231_285"/>
      <w:bookmarkEnd w:id="68"/>
      <w:bookmarkEnd w:id="69"/>
      <w:r>
        <w:rPr>
          <w:rFonts w:ascii="Times New Roman" w:hAnsi="Times New Roman"/>
          <w:b/>
          <w:i w:val="false"/>
          <w:caps w:val="false"/>
          <w:smallCaps w:val="false"/>
          <w:sz w:val="20"/>
        </w:rPr>
        <w:t>Exhibit 23.1</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Consent of Independent Registered Public Accounting Firm</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bookmarkStart w:id="70" w:name="_Hlk305788771"/>
      <w:bookmarkEnd w:id="70"/>
      <w:r>
        <w:rPr>
          <w:rFonts w:ascii="Times New Roman" w:hAnsi="Times New Roman"/>
          <w:b w:val="false"/>
          <w:i w:val="false"/>
          <w:caps w:val="false"/>
          <w:smallCaps w:val="false"/>
          <w:sz w:val="20"/>
        </w:rPr>
        <w:t>We consent to the incorporation by reference in the Registration Statement (Form S-8 No 333-253085)</w:t>
      </w:r>
      <w:bookmarkStart w:id="71" w:name="_Hlk30578877"/>
      <w:bookmarkEnd w:id="71"/>
      <w:r>
        <w:rPr>
          <w:rFonts w:ascii="Times New Roman" w:hAnsi="Times New Roman"/>
          <w:b w:val="false"/>
          <w:i w:val="false"/>
          <w:caps w:val="false"/>
          <w:smallCaps w:val="false"/>
          <w:sz w:val="20"/>
        </w:rPr>
        <w:t xml:space="preserve"> of Terns Pharmaceuticals, Inc. of our report dated March 30, 2021, with respect to the consolidated financial statements of Terns Pharmaceuticals, Inc. included in this Annual Report (Form 10-K) of Terns Pharmaceuticals for the year ended December 31, 2020.</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Ernst &amp; Young LLP</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San Jose, California</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March 30, 2021</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240" w:after="0"/>
        <w:rPr/>
      </w:pPr>
      <w:r>
        <w:rPr/>
        <w:t> </w:t>
      </w:r>
      <w:r>
        <w:br w:type="page"/>
      </w:r>
    </w:p>
    <w:p>
      <w:pPr>
        <w:pStyle w:val="TextBody"/>
        <w:spacing w:before="0" w:after="0"/>
        <w:rPr/>
      </w:pPr>
      <w:bookmarkStart w:id="72" w:name="tern-ex311_9.htm"/>
      <w:bookmarkStart w:id="73" w:name="ksternex311_9"/>
      <w:bookmarkEnd w:id="72"/>
      <w:bookmarkEnd w:id="73"/>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31.1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RULES 13a-14(a) AND 15d-14(a) UNDER THE SECURITIES EXCHANGE ACT OF 1934,</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 SECTION 302 OF THE SARBANES-OXLEY ACT OF 2002</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Senthil Sundaram, certify that:</w:t>
      </w:r>
    </w:p>
    <w:tbl>
      <w:tblPr>
        <w:tblW w:w="8005" w:type="dxa"/>
        <w:jc w:val="left"/>
        <w:tblInd w:w="0" w:type="dxa"/>
        <w:tblCellMar>
          <w:top w:w="0" w:type="dxa"/>
          <w:left w:w="0" w:type="dxa"/>
          <w:bottom w:w="0" w:type="dxa"/>
          <w:right w:w="0" w:type="dxa"/>
        </w:tblCellMar>
      </w:tblPr>
      <w:tblGrid>
        <w:gridCol w:w="200"/>
        <w:gridCol w:w="7805"/>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8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 have reviewed this Annual Report on Form 10-K of Terns Pharmaceuticals,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38"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4635" w:type="dxa"/>
        <w:jc w:val="center"/>
        <w:tblInd w:w="0" w:type="dxa"/>
        <w:tblCellMar>
          <w:top w:w="0" w:type="dxa"/>
          <w:left w:w="0" w:type="dxa"/>
          <w:bottom w:w="28" w:type="dxa"/>
          <w:right w:w="0" w:type="dxa"/>
        </w:tblCellMar>
      </w:tblPr>
      <w:tblGrid>
        <w:gridCol w:w="1790"/>
        <w:gridCol w:w="60"/>
        <w:gridCol w:w="320"/>
        <w:gridCol w:w="2465"/>
      </w:tblGrid>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30,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4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Senthil Sundaram</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Senthil Sundaram</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74" w:name="tern-ex312_7.htm"/>
      <w:bookmarkStart w:id="75" w:name="ksternex312_7"/>
      <w:bookmarkEnd w:id="74"/>
      <w:bookmarkEnd w:id="75"/>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31.2</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RULES 13a-14(a) AND 15d-14(a) UNDER THE SECURITIES EXCHANGE ACT OF 1934,</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 SECTION 302 OF THE SARBANES-OXLEY ACT OF 2002</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Mark Vignola, certify that:</w:t>
      </w:r>
    </w:p>
    <w:tbl>
      <w:tblPr>
        <w:tblW w:w="8005" w:type="dxa"/>
        <w:jc w:val="left"/>
        <w:tblInd w:w="0" w:type="dxa"/>
        <w:tblCellMar>
          <w:top w:w="0" w:type="dxa"/>
          <w:left w:w="0" w:type="dxa"/>
          <w:bottom w:w="0" w:type="dxa"/>
          <w:right w:w="0" w:type="dxa"/>
        </w:tblCellMar>
      </w:tblPr>
      <w:tblGrid>
        <w:gridCol w:w="200"/>
        <w:gridCol w:w="7805"/>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8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 have reviewed this Annual Report on Form 10-K of Terns Pharmaceuticals,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38"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5850" w:type="dxa"/>
        <w:jc w:val="center"/>
        <w:tblInd w:w="0" w:type="dxa"/>
        <w:tblCellMar>
          <w:top w:w="0" w:type="dxa"/>
          <w:left w:w="0" w:type="dxa"/>
          <w:bottom w:w="28" w:type="dxa"/>
          <w:right w:w="0" w:type="dxa"/>
        </w:tblCellMar>
      </w:tblPr>
      <w:tblGrid>
        <w:gridCol w:w="1790"/>
        <w:gridCol w:w="60"/>
        <w:gridCol w:w="320"/>
        <w:gridCol w:w="3680"/>
      </w:tblGrid>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30,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68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Mark Vignola</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6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Mark Vignola</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and Accounting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76" w:name="tern-ex321_6.htm"/>
      <w:bookmarkStart w:id="77" w:name="ksternex321_6"/>
      <w:bookmarkEnd w:id="76"/>
      <w:bookmarkEnd w:id="77"/>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32.1</w:t>
      </w:r>
    </w:p>
    <w:p>
      <w:pPr>
        <w:pStyle w:val="TextBody"/>
        <w:shd w:fill="FFFFFF" w:val="clear"/>
        <w:spacing w:before="3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18 U.S.C. SECTION 1350, 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Annual Report of Terns Pharmaceuticals, Inc. (the “Company”) on Form 10-K for the period ending December 31, 2020 as filed with the Securities and Exchange Commission on the date hereof (the “Report”), I certify, pursuant to 18 U.S.C. § 1350, as adopted pursuant to § 906 of the Sarbanes-Oxley Act of 2002, that:</w:t>
      </w:r>
    </w:p>
    <w:tbl>
      <w:tblPr>
        <w:tblW w:w="9865" w:type="dxa"/>
        <w:jc w:val="left"/>
        <w:tblInd w:w="0" w:type="dxa"/>
        <w:tblCellMar>
          <w:top w:w="0" w:type="dxa"/>
          <w:left w:w="0" w:type="dxa"/>
          <w:bottom w:w="0" w:type="dxa"/>
          <w:right w:w="0" w:type="dxa"/>
        </w:tblCellMar>
      </w:tblPr>
      <w:tblGrid>
        <w:gridCol w:w="60"/>
        <w:gridCol w:w="245"/>
        <w:gridCol w:w="956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 of operations of the Company.</w:t>
            </w:r>
          </w:p>
        </w:tc>
      </w:tr>
    </w:tbl>
    <w:p>
      <w:pPr>
        <w:pStyle w:val="TextBody"/>
        <w:spacing w:before="0" w:after="0"/>
        <w:rPr/>
      </w:pPr>
      <w:r>
        <w:rPr/>
        <w:t> </w:t>
      </w:r>
    </w:p>
    <w:tbl>
      <w:tblPr>
        <w:tblW w:w="4515" w:type="dxa"/>
        <w:jc w:val="center"/>
        <w:tblInd w:w="0" w:type="dxa"/>
        <w:tblCellMar>
          <w:top w:w="0" w:type="dxa"/>
          <w:left w:w="0" w:type="dxa"/>
          <w:bottom w:w="28" w:type="dxa"/>
          <w:right w:w="0" w:type="dxa"/>
        </w:tblCellMar>
      </w:tblPr>
      <w:tblGrid>
        <w:gridCol w:w="1790"/>
        <w:gridCol w:w="60"/>
        <w:gridCol w:w="320"/>
        <w:gridCol w:w="2345"/>
      </w:tblGrid>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30,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34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Senthil Sundaram</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Senthil Sundaram</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bl>
    <w:p>
      <w:pPr>
        <w:pStyle w:val="TextBody"/>
        <w:spacing w:before="0" w:after="0"/>
        <w:rPr/>
      </w:pPr>
      <w:r>
        <w:rPr/>
        <w:t> </w:t>
      </w:r>
    </w:p>
    <w:p>
      <w:pPr>
        <w:pStyle w:val="TextBody"/>
        <w:spacing w:before="240" w:after="240"/>
        <w:rPr/>
      </w:pPr>
      <w:r>
        <w:rPr/>
        <w:t> </w:t>
      </w:r>
      <w:r>
        <w:br w:type="page"/>
      </w:r>
    </w:p>
    <w:p>
      <w:pPr>
        <w:pStyle w:val="TextBody"/>
        <w:spacing w:before="0" w:after="0"/>
        <w:rPr/>
      </w:pPr>
      <w:bookmarkStart w:id="78" w:name="tern-ex322_8.htm"/>
      <w:bookmarkStart w:id="79" w:name="ksternex322_8"/>
      <w:bookmarkEnd w:id="78"/>
      <w:bookmarkEnd w:id="79"/>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32.2</w:t>
      </w:r>
    </w:p>
    <w:p>
      <w:pPr>
        <w:pStyle w:val="TextBody"/>
        <w:shd w:fill="FFFFFF" w:val="clear"/>
        <w:spacing w:before="3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18 U.S.C. SECTION 1350, 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Annual Report of Terns Pharmaceuticals, Inc. (the “Company”) on Form 10-K for the period ending December 31, 2020 as filed with the Securities and Exchange Commission on the date hereof (the “Report”), I certify, pursuant to 18 U.S.C. § 1350, as adopted pursuant to § 906 of the Sarbanes-Oxley Act of 2002, that:</w:t>
      </w:r>
    </w:p>
    <w:tbl>
      <w:tblPr>
        <w:tblW w:w="9865" w:type="dxa"/>
        <w:jc w:val="left"/>
        <w:tblInd w:w="0" w:type="dxa"/>
        <w:tblCellMar>
          <w:top w:w="0" w:type="dxa"/>
          <w:left w:w="0" w:type="dxa"/>
          <w:bottom w:w="0" w:type="dxa"/>
          <w:right w:w="0" w:type="dxa"/>
        </w:tblCellMar>
      </w:tblPr>
      <w:tblGrid>
        <w:gridCol w:w="60"/>
        <w:gridCol w:w="245"/>
        <w:gridCol w:w="956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 of operations of the Company.</w:t>
            </w:r>
          </w:p>
        </w:tc>
      </w:tr>
    </w:tbl>
    <w:p>
      <w:pPr>
        <w:pStyle w:val="TextBody"/>
        <w:spacing w:before="0" w:after="0"/>
        <w:rPr/>
      </w:pPr>
      <w:r>
        <w:rPr/>
        <w:t> </w:t>
      </w:r>
    </w:p>
    <w:tbl>
      <w:tblPr>
        <w:tblW w:w="5850" w:type="dxa"/>
        <w:jc w:val="center"/>
        <w:tblInd w:w="0" w:type="dxa"/>
        <w:tblCellMar>
          <w:top w:w="0" w:type="dxa"/>
          <w:left w:w="0" w:type="dxa"/>
          <w:bottom w:w="28" w:type="dxa"/>
          <w:right w:w="0" w:type="dxa"/>
        </w:tblCellMar>
      </w:tblPr>
      <w:tblGrid>
        <w:gridCol w:w="1790"/>
        <w:gridCol w:w="60"/>
        <w:gridCol w:w="320"/>
        <w:gridCol w:w="3680"/>
      </w:tblGrid>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30,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68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Mark Vignola</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6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Mark Vignola</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and Accounting Officer</w:t>
            </w:r>
          </w:p>
        </w:tc>
      </w:tr>
    </w:tbl>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hyperlink" Target="http://www.sec.gov/Archives/edgar/data/0001831363/000119312521034352/d115818dex31.htm" TargetMode="External"/><Relationship Id="rId21" Type="http://schemas.openxmlformats.org/officeDocument/2006/relationships/hyperlink" Target="http://www.sec.gov/Archives/edgar/data/0001831363/000119312521034352/d115818dex32.htm" TargetMode="External"/><Relationship Id="rId22" Type="http://schemas.openxmlformats.org/officeDocument/2006/relationships/hyperlink" Target="http://www.sec.gov/Archives/edgar/data/1831363/000119312521023654/d56372dex42.htm" TargetMode="External"/><Relationship Id="rId23" Type="http://schemas.openxmlformats.org/officeDocument/2006/relationships/hyperlink" Target="http://www.sec.gov/Archives/edgar/data/0001831363/000119312521010241/d56372dex101.htm" TargetMode="External"/><Relationship Id="rId24" Type="http://schemas.openxmlformats.org/officeDocument/2006/relationships/hyperlink" Target="http://www.sec.gov/Archives/edgar/data/0001831363/000119312521010241/d56372dex102.htm" TargetMode="External"/><Relationship Id="rId25" Type="http://schemas.openxmlformats.org/officeDocument/2006/relationships/hyperlink" Target="http://www.sec.gov/Archives/edgar/data/0001831363/000119312521010241/d56372dex103.htm" TargetMode="External"/><Relationship Id="rId26" Type="http://schemas.openxmlformats.org/officeDocument/2006/relationships/hyperlink" Target="http://www.sec.gov/Archives/edgar/data/0001831363/000119312521010241/d56372dex104a.htm" TargetMode="External"/><Relationship Id="rId27" Type="http://schemas.openxmlformats.org/officeDocument/2006/relationships/hyperlink" Target="http://www.sec.gov/Archives/edgar/data/0001831363/000119312521010241/d56372dex104b.htm" TargetMode="External"/><Relationship Id="rId28" Type="http://schemas.openxmlformats.org/officeDocument/2006/relationships/hyperlink" Target="http://www.sec.gov/Archives/edgar/data/0001831363/000119312521010241/d56372dex104c.htm" TargetMode="External"/><Relationship Id="rId29" Type="http://schemas.openxmlformats.org/officeDocument/2006/relationships/hyperlink" Target="http://www.sec.gov/Archives/edgar/data/0001831363/000119312521010241/d56372dex104d.htm" TargetMode="External"/><Relationship Id="rId30" Type="http://schemas.openxmlformats.org/officeDocument/2006/relationships/hyperlink" Target="http://www.sec.gov/Archives/edgar/data/0001831363/000119312521041825/d137290dex992a.htm" TargetMode="External"/><Relationship Id="rId31" Type="http://schemas.openxmlformats.org/officeDocument/2006/relationships/hyperlink" Target="http://www.sec.gov/Archives/edgar/data/1831363/000119312521023654/d56372dex105b.htm" TargetMode="External"/><Relationship Id="rId32" Type="http://schemas.openxmlformats.org/officeDocument/2006/relationships/hyperlink" Target="http://www.sec.gov/Archives/edgar/data/1831363/000119312521023654/d56372dex105c.htm" TargetMode="External"/><Relationship Id="rId33" Type="http://schemas.openxmlformats.org/officeDocument/2006/relationships/hyperlink" Target="http://www.sec.gov/Archives/edgar/data/1831363/000119312521023654/d56372dex105d.htm" TargetMode="External"/><Relationship Id="rId34" Type="http://schemas.openxmlformats.org/officeDocument/2006/relationships/hyperlink" Target="http://www.sec.gov/Archives/edgar/data/0001831363/000119312521041825/d137290dex993.htm" TargetMode="External"/><Relationship Id="rId35" Type="http://schemas.openxmlformats.org/officeDocument/2006/relationships/hyperlink" Target="http://www.sec.gov/Archives/edgar/data/1831363/000119312521023654/d56372dex107.htm" TargetMode="External"/><Relationship Id="rId36" Type="http://schemas.openxmlformats.org/officeDocument/2006/relationships/hyperlink" Target="http://www.sec.gov/Archives/edgar/data/1831363/000119312521023654/d56372dex108.htm" TargetMode="External"/><Relationship Id="rId37" Type="http://schemas.openxmlformats.org/officeDocument/2006/relationships/hyperlink" Target="http://www.sec.gov/Archives/edgar/data/1831363/000119312521023654/d56372dex109.htm" TargetMode="External"/><Relationship Id="rId38" Type="http://schemas.openxmlformats.org/officeDocument/2006/relationships/hyperlink" Target="http://www.sec.gov/Archives/edgar/data/1831363/000119312521023654/d56372dex1010.htm" TargetMode="External"/><Relationship Id="rId39" Type="http://schemas.openxmlformats.org/officeDocument/2006/relationships/hyperlink" Target="http://www.sec.gov/Archives/edgar/data/1831363/000119312521023654/d56372dex1011.htm" TargetMode="External"/><Relationship Id="rId40" Type="http://schemas.openxmlformats.org/officeDocument/2006/relationships/hyperlink" Target="http://www.sec.gov/Archives/edgar/data/1831363/000119312521010241/d56372dex1013.htm" TargetMode="External"/><Relationship Id="rId41" Type="http://schemas.openxmlformats.org/officeDocument/2006/relationships/hyperlink" Target="http://www.sec.gov/Archives/edgar/data/1831363/000119312521010241/d56372dex1014.htm" TargetMode="External"/><Relationship Id="rId42" Type="http://schemas.openxmlformats.org/officeDocument/2006/relationships/hyperlink" Target="http://www.sec.gov/Archives/edgar/data/1831363/000119312521010241/d56372dex1015.htm" TargetMode="External"/><Relationship Id="rId43" Type="http://schemas.openxmlformats.org/officeDocument/2006/relationships/hyperlink" Target="http://www.sec.gov/Archives/edgar/data/1831363/000119312521010241/d56372dex1016.htm" TargetMode="External"/><Relationship Id="rId44" Type="http://schemas.openxmlformats.org/officeDocument/2006/relationships/hyperlink" Target="http://www.sec.gov/Archives/edgar/data/0001831363/000119312521010241/d56372dex21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108047</Words>
  <CharactersWithSpaces>715833</CharactersWithSpaces>
  <Paragraphs>9257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