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Terns Pharmaceuticals,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05/31/2026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Morgan Stanley</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As of the date hereof, Morgan Stanley has ceased to be the beneficial owner of more than five percent of the class of securities.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5"/>
        <w:gridCol w:w="9075"/>
        <w:gridCol w:w="155"/>
      </w:tblGrid>
      <w:tr>
        <w:trPr/>
        <w:tc>
          <w:tcPr>
            <w:tcW w:w="975" w:type="dxa"/>
            <w:tcBorders/>
            <w:vAlign w:val="center"/>
          </w:tcPr>
          <w:p>
            <w:pPr>
              <w:pStyle w:val="TableContents"/>
              <w:bidi w:val="0"/>
              <w:spacing w:before="0" w:after="283"/>
              <w:jc w:val="left"/>
              <w:rPr/>
            </w:pPr>
            <w:r>
              <w:rPr/>
              <w:t>Item 1.</w:t>
            </w:r>
          </w:p>
        </w:tc>
        <w:tc>
          <w:tcPr>
            <w:tcW w:w="907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(a)</w:t>
            </w:r>
          </w:p>
        </w:tc>
        <w:tc>
          <w:tcPr>
            <w:tcW w:w="9075" w:type="dxa"/>
            <w:tcBorders/>
            <w:vAlign w:val="center"/>
          </w:tcPr>
          <w:p>
            <w:pPr>
              <w:pStyle w:val="TableContents"/>
              <w:bidi w:val="0"/>
              <w:jc w:val="left"/>
              <w:rPr/>
            </w:pPr>
            <w:r>
              <w:rPr/>
              <w:t xml:space="preserve">Name of issuer: </w:t>
            </w:r>
          </w:p>
          <w:p>
            <w:pPr>
              <w:pStyle w:val="TableContents"/>
              <w:bidi w:val="0"/>
              <w:spacing w:before="0" w:after="0"/>
              <w:jc w:val="left"/>
              <w:rPr/>
            </w:pPr>
            <w:r>
              <w:rPr/>
              <w:t>Terns Pharmaceuticals, Inc.</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(b)</w:t>
            </w:r>
          </w:p>
        </w:tc>
        <w:tc>
          <w:tcPr>
            <w:tcW w:w="907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1065 EAST HILLSDALE BLVD., SUITE 100, FOSTER CITY, CA, 94404</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Item 2.</w:t>
            </w:r>
          </w:p>
        </w:tc>
        <w:tc>
          <w:tcPr>
            <w:tcW w:w="907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(a)</w:t>
            </w:r>
          </w:p>
        </w:tc>
        <w:tc>
          <w:tcPr>
            <w:tcW w:w="9075" w:type="dxa"/>
            <w:tcBorders/>
            <w:vAlign w:val="center"/>
          </w:tcPr>
          <w:p>
            <w:pPr>
              <w:pStyle w:val="TableContents"/>
              <w:bidi w:val="0"/>
              <w:jc w:val="left"/>
              <w:rPr/>
            </w:pPr>
            <w:r>
              <w:rPr/>
              <w:t xml:space="preserve">Name of person filing: </w:t>
            </w:r>
          </w:p>
          <w:p>
            <w:pPr>
              <w:pStyle w:val="TableContents"/>
              <w:bidi w:val="0"/>
              <w:spacing w:before="0" w:after="0"/>
              <w:jc w:val="left"/>
              <w:rPr/>
            </w:pPr>
            <w:r>
              <w:rPr/>
              <w:t>Morgan Stanley</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(b)</w:t>
            </w:r>
          </w:p>
        </w:tc>
        <w:tc>
          <w:tcPr>
            <w:tcW w:w="907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1585 Broadway, New York, NY 10036</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(c)</w:t>
            </w:r>
          </w:p>
        </w:tc>
        <w:tc>
          <w:tcPr>
            <w:tcW w:w="9075"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(d)</w:t>
            </w:r>
          </w:p>
        </w:tc>
        <w:tc>
          <w:tcPr>
            <w:tcW w:w="907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(e)</w:t>
            </w:r>
          </w:p>
        </w:tc>
        <w:tc>
          <w:tcPr>
            <w:tcW w:w="907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Item 3.</w:t>
            </w:r>
          </w:p>
        </w:tc>
        <w:tc>
          <w:tcPr>
            <w:tcW w:w="907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(a)</w:t>
            </w:r>
          </w:p>
        </w:tc>
        <w:tc>
          <w:tcPr>
            <w:tcW w:w="9075"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(b)</w:t>
            </w:r>
          </w:p>
        </w:tc>
        <w:tc>
          <w:tcPr>
            <w:tcW w:w="9075"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(c)</w:t>
            </w:r>
          </w:p>
        </w:tc>
        <w:tc>
          <w:tcPr>
            <w:tcW w:w="9075"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(d)</w:t>
            </w:r>
          </w:p>
        </w:tc>
        <w:tc>
          <w:tcPr>
            <w:tcW w:w="9075"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(e)</w:t>
            </w:r>
          </w:p>
        </w:tc>
        <w:tc>
          <w:tcPr>
            <w:tcW w:w="9075"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(f)</w:t>
            </w:r>
          </w:p>
        </w:tc>
        <w:tc>
          <w:tcPr>
            <w:tcW w:w="9075"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(g)</w:t>
            </w:r>
          </w:p>
        </w:tc>
        <w:tc>
          <w:tcPr>
            <w:tcW w:w="9075"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(h)</w:t>
            </w:r>
          </w:p>
        </w:tc>
        <w:tc>
          <w:tcPr>
            <w:tcW w:w="9075"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(i)</w:t>
            </w:r>
          </w:p>
        </w:tc>
        <w:tc>
          <w:tcPr>
            <w:tcW w:w="9075"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(j)</w:t>
            </w:r>
          </w:p>
        </w:tc>
        <w:tc>
          <w:tcPr>
            <w:tcW w:w="907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(k)</w:t>
            </w:r>
          </w:p>
        </w:tc>
        <w:tc>
          <w:tcPr>
            <w:tcW w:w="907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 </w:t>
            </w:r>
          </w:p>
        </w:tc>
        <w:tc>
          <w:tcPr>
            <w:tcW w:w="9230" w:type="dxa"/>
            <w:gridSpan w:val="2"/>
            <w:tcBorders/>
            <w:vAlign w:val="center"/>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Item 4.</w:t>
            </w:r>
          </w:p>
        </w:tc>
        <w:tc>
          <w:tcPr>
            <w:tcW w:w="907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(a)</w:t>
            </w:r>
          </w:p>
        </w:tc>
        <w:tc>
          <w:tcPr>
            <w:tcW w:w="907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(b)</w:t>
            </w:r>
          </w:p>
        </w:tc>
        <w:tc>
          <w:tcPr>
            <w:tcW w:w="907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0.0  %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(c)</w:t>
            </w:r>
          </w:p>
        </w:tc>
        <w:tc>
          <w:tcPr>
            <w:tcW w:w="907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the response(s) to Item 5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the response(s) to Item 7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Item 5.</w:t>
            </w:r>
          </w:p>
        </w:tc>
        <w:tc>
          <w:tcPr>
            <w:tcW w:w="907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Item 6.</w:t>
            </w:r>
          </w:p>
        </w:tc>
        <w:tc>
          <w:tcPr>
            <w:tcW w:w="907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Item 7.</w:t>
            </w:r>
          </w:p>
        </w:tc>
        <w:tc>
          <w:tcPr>
            <w:tcW w:w="907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Item 8.</w:t>
            </w:r>
          </w:p>
        </w:tc>
        <w:tc>
          <w:tcPr>
            <w:tcW w:w="907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Item 9.</w:t>
            </w:r>
          </w:p>
        </w:tc>
        <w:tc>
          <w:tcPr>
            <w:tcW w:w="907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Item 10.</w:t>
            </w:r>
          </w:p>
        </w:tc>
        <w:tc>
          <w:tcPr>
            <w:tcW w:w="9036" w:type="dxa"/>
            <w:tcBorders/>
            <w:vAlign w:val="center"/>
          </w:tcPr>
          <w:p>
            <w:pPr>
              <w:pStyle w:val="TableContents"/>
              <w:bidi w:val="0"/>
              <w:spacing w:before="0" w:after="283"/>
              <w:jc w:val="left"/>
              <w:rPr/>
            </w:pPr>
            <w:r>
              <w:rPr/>
              <w:t>Certifications:</w:t>
            </w:r>
          </w:p>
        </w:tc>
      </w:tr>
      <w:tr>
        <w:trPr/>
        <w:tc>
          <w:tcPr>
            <w:tcW w:w="1169" w:type="dxa"/>
            <w:tcBorders/>
            <w:vAlign w:val="center"/>
          </w:tcPr>
          <w:p>
            <w:pPr>
              <w:pStyle w:val="TableContents"/>
              <w:bidi w:val="0"/>
              <w:spacing w:before="0" w:after="283"/>
              <w:jc w:val="left"/>
              <w:rPr/>
            </w:pPr>
            <w:r>
              <w:rPr/>
              <w:t> </w:t>
            </w:r>
          </w:p>
        </w:tc>
        <w:tc>
          <w:tcPr>
            <w:tcW w:w="903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 In Accordance with the Securities and Exchange Commission Release No. 34-39538 (January 12, 1998) (the "Release"), this filing reflects the securities beneficially owned, or that may be deemed to be beneficially owned, by certain operating units (collectively, the "MS Reporting Units") of Morgan Stanley and its subsidiaries and affiliates (collectively, "MS"). This filing does not reflect securities, if any, beneficially owned by any operating units of MS whose ownership of securities is disaggregated from that of the MS Reporting Units in accordance with the Release.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Morgan Stanley</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1"/>
        <w:gridCol w:w="4294"/>
      </w:tblGrid>
      <w:tr>
        <w:trPr/>
        <w:tc>
          <w:tcPr>
            <w:tcW w:w="591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Claire Gordon</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Authorized Signatory, Morgan Stanley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06/05/2026</w:t>
                  </w:r>
                </w:p>
              </w:tc>
            </w:tr>
          </w:tbl>
          <w:p>
            <w:pPr>
              <w:pStyle w:val="TableContents"/>
              <w:bidi w:val="0"/>
              <w:spacing w:before="0" w:after="283"/>
              <w:jc w:val="left"/>
              <w:rPr/>
            </w:pPr>
            <w:r>
              <w:rPr/>
            </w:r>
          </w:p>
        </w:tc>
        <w:tc>
          <w:tcPr>
            <w:tcW w:w="429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892</Words>
  <Characters>4576</Characters>
  <CharactersWithSpaces>5464</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